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distribute"/>
        <w:rPr>
          <w:rFonts w:ascii="宋体" w:hAnsi="宋体"/>
          <w:b/>
          <w:spacing w:val="-70"/>
          <w:sz w:val="28"/>
          <w:szCs w:val="28"/>
        </w:rPr>
      </w:pPr>
    </w:p>
    <w:p>
      <w:pPr>
        <w:rPr>
          <w:rFonts w:ascii="宋体" w:hAnsi="宋体"/>
          <w:sz w:val="28"/>
          <w:szCs w:val="28"/>
        </w:rPr>
      </w:pPr>
    </w:p>
    <w:p>
      <w:pPr>
        <w:widowControl/>
        <w:jc w:val="center"/>
        <w:rPr>
          <w:rFonts w:hint="eastAsia" w:ascii="宋体" w:hAnsi="宋体"/>
          <w:b/>
          <w:sz w:val="84"/>
          <w:szCs w:val="84"/>
        </w:rPr>
      </w:pPr>
      <w:r>
        <w:rPr>
          <w:rFonts w:hint="eastAsia" w:ascii="宋体" w:hAnsi="宋体"/>
          <w:b/>
          <w:sz w:val="52"/>
          <w:szCs w:val="52"/>
        </w:rPr>
        <w:t>南京市公共资源交易中心</w:t>
      </w:r>
    </w:p>
    <w:p>
      <w:pPr>
        <w:widowControl/>
        <w:jc w:val="center"/>
        <w:rPr>
          <w:rFonts w:hint="eastAsia" w:ascii="宋体" w:hAnsi="宋体" w:eastAsia="宋体"/>
          <w:b/>
          <w:sz w:val="84"/>
          <w:szCs w:val="84"/>
          <w:lang w:val="en-US" w:eastAsia="zh-CN"/>
        </w:rPr>
      </w:pPr>
      <w:r>
        <w:rPr>
          <w:rFonts w:hint="eastAsia" w:ascii="宋体" w:hAnsi="宋体"/>
          <w:b/>
          <w:sz w:val="84"/>
          <w:szCs w:val="84"/>
        </w:rPr>
        <w:t>产权交易业务</w:t>
      </w:r>
      <w:r>
        <w:rPr>
          <w:rFonts w:hint="eastAsia" w:ascii="宋体" w:hAnsi="宋体"/>
          <w:b/>
          <w:sz w:val="84"/>
          <w:szCs w:val="84"/>
          <w:lang w:val="en-US" w:eastAsia="zh-CN"/>
        </w:rPr>
        <w:t>系统</w:t>
      </w:r>
    </w:p>
    <w:p>
      <w:pPr>
        <w:widowControl/>
        <w:jc w:val="center"/>
        <w:rPr>
          <w:rFonts w:hint="eastAsia" w:ascii="宋体" w:hAnsi="宋体"/>
          <w:b/>
          <w:sz w:val="52"/>
          <w:szCs w:val="52"/>
        </w:rPr>
      </w:pPr>
    </w:p>
    <w:p>
      <w:pPr>
        <w:widowControl/>
        <w:jc w:val="center"/>
        <w:rPr>
          <w:rFonts w:hint="eastAsia" w:ascii="宋体" w:hAnsi="宋体"/>
          <w:b/>
          <w:sz w:val="52"/>
          <w:szCs w:val="52"/>
          <w:lang w:val="en-US" w:eastAsia="zh-CN"/>
        </w:rPr>
      </w:pPr>
      <w:r>
        <w:rPr>
          <w:rFonts w:hint="eastAsia" w:ascii="宋体" w:hAnsi="宋体"/>
          <w:b/>
          <w:sz w:val="52"/>
          <w:szCs w:val="52"/>
        </w:rPr>
        <w:t>委托方</w:t>
      </w:r>
      <w:r>
        <w:rPr>
          <w:rFonts w:hint="eastAsia" w:ascii="宋体" w:hAnsi="宋体"/>
          <w:b/>
          <w:sz w:val="52"/>
          <w:szCs w:val="52"/>
          <w:lang w:val="en-US" w:eastAsia="zh-CN"/>
        </w:rPr>
        <w:t>操作手册</w:t>
      </w:r>
    </w:p>
    <w:p>
      <w:pPr>
        <w:widowControl/>
        <w:jc w:val="center"/>
        <w:rPr>
          <w:rFonts w:hint="eastAsia" w:ascii="宋体" w:hAnsi="宋体"/>
          <w:b/>
          <w:sz w:val="52"/>
          <w:szCs w:val="52"/>
          <w:lang w:val="en-US" w:eastAsia="zh-CN"/>
        </w:rPr>
      </w:pPr>
    </w:p>
    <w:p>
      <w:pPr>
        <w:widowControl/>
        <w:jc w:val="center"/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0"/>
          <w:sz w:val="28"/>
          <w:szCs w:val="28"/>
          <w:shd w:val="clear" w:fill="FFFFFF"/>
          <w:lang w:eastAsia="zh-CN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0"/>
          <w:sz w:val="28"/>
          <w:szCs w:val="28"/>
          <w:shd w:val="clear" w:fill="FFFFFF"/>
        </w:rPr>
        <w:t>本操作手册内容仅为电子交易系统的操作指引与参考说明，旨在帮助用户了解系统功能及基本操作流程。手册信息可能随系统迭代、业务调整等发生更新</w:t>
      </w: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0"/>
          <w:sz w:val="28"/>
          <w:szCs w:val="28"/>
          <w:shd w:val="clear" w:fill="FFFFFF"/>
          <w:lang w:eastAsia="zh-CN"/>
        </w:rPr>
        <w:t>。</w:t>
      </w:r>
    </w:p>
    <w:p>
      <w:pPr>
        <w:widowControl/>
        <w:jc w:val="center"/>
        <w:rPr>
          <w:rFonts w:hint="eastAsia" w:asciiTheme="minorEastAsia" w:hAnsiTheme="minorEastAsia" w:eastAsiaTheme="minorEastAsia" w:cstheme="minorEastAsia"/>
          <w:b/>
          <w:bCs/>
          <w:i w:val="0"/>
          <w:iCs w:val="0"/>
          <w:caps w:val="0"/>
          <w:color w:val="FF0000"/>
          <w:spacing w:val="0"/>
          <w:sz w:val="52"/>
          <w:szCs w:val="52"/>
          <w:shd w:val="clear" w:fill="FFFFFF"/>
        </w:rPr>
      </w:pPr>
      <w:r>
        <w:rPr>
          <w:rFonts w:hint="eastAsia" w:asciiTheme="minorEastAsia" w:hAnsiTheme="minorEastAsia" w:eastAsiaTheme="minorEastAsia" w:cstheme="minorEastAsia"/>
          <w:b/>
          <w:bCs/>
          <w:i w:val="0"/>
          <w:iCs w:val="0"/>
          <w:caps w:val="0"/>
          <w:color w:val="FF0000"/>
          <w:spacing w:val="0"/>
          <w:sz w:val="52"/>
          <w:szCs w:val="52"/>
          <w:shd w:val="clear" w:fill="FFFFFF"/>
          <w:lang w:val="en-US" w:eastAsia="zh-CN"/>
        </w:rPr>
        <w:t>本手册</w:t>
      </w:r>
      <w:r>
        <w:rPr>
          <w:rFonts w:hint="eastAsia" w:asciiTheme="minorEastAsia" w:hAnsiTheme="minorEastAsia" w:eastAsiaTheme="minorEastAsia" w:cstheme="minorEastAsia"/>
          <w:b/>
          <w:bCs/>
          <w:i w:val="0"/>
          <w:iCs w:val="0"/>
          <w:caps w:val="0"/>
          <w:color w:val="FF0000"/>
          <w:spacing w:val="0"/>
          <w:sz w:val="52"/>
          <w:szCs w:val="52"/>
          <w:shd w:val="clear" w:fill="FFFFFF"/>
        </w:rPr>
        <w:t>仅供用户参考使用，</w:t>
      </w:r>
      <w:r>
        <w:rPr>
          <w:rStyle w:val="29"/>
          <w:rFonts w:hint="eastAsia" w:asciiTheme="minorEastAsia" w:hAnsiTheme="minorEastAsia" w:eastAsiaTheme="minorEastAsia" w:cstheme="minorEastAsia"/>
          <w:b/>
          <w:bCs/>
          <w:i w:val="0"/>
          <w:iCs w:val="0"/>
          <w:caps w:val="0"/>
          <w:color w:val="FF0000"/>
          <w:spacing w:val="0"/>
          <w:sz w:val="52"/>
          <w:szCs w:val="52"/>
          <w:shd w:val="clear" w:fill="FFFFFF"/>
        </w:rPr>
        <w:t>不作为任何交易决策、法律纠纷、业务合规性判定及权利主张的依据</w:t>
      </w:r>
      <w:r>
        <w:rPr>
          <w:rFonts w:hint="eastAsia" w:asciiTheme="minorEastAsia" w:hAnsiTheme="minorEastAsia" w:eastAsiaTheme="minorEastAsia" w:cstheme="minorEastAsia"/>
          <w:b/>
          <w:bCs/>
          <w:i w:val="0"/>
          <w:iCs w:val="0"/>
          <w:caps w:val="0"/>
          <w:color w:val="FF0000"/>
          <w:spacing w:val="0"/>
          <w:sz w:val="52"/>
          <w:szCs w:val="52"/>
          <w:shd w:val="clear" w:fill="FFFFFF"/>
        </w:rPr>
        <w:t>。</w:t>
      </w:r>
    </w:p>
    <w:p>
      <w:pPr>
        <w:widowControl/>
        <w:jc w:val="center"/>
        <w:rPr>
          <w:rFonts w:ascii="宋体" w:hAnsi="宋体"/>
          <w:b/>
          <w:sz w:val="84"/>
          <w:szCs w:val="8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0"/>
          <w:sz w:val="28"/>
          <w:szCs w:val="28"/>
          <w:shd w:val="clear" w:fill="FFFFFF"/>
        </w:rPr>
        <w:t>用户在使用系统过程中，应严格遵守相关法律法规、</w:t>
      </w: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0"/>
          <w:sz w:val="28"/>
          <w:szCs w:val="28"/>
          <w:shd w:val="clear" w:fill="FFFFFF"/>
          <w:lang w:val="en-US" w:eastAsia="zh-CN"/>
        </w:rPr>
        <w:t>交易规则、信息公告等约定，如遇问题请在工作时间内及时与项目负责人联系</w:t>
      </w: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0"/>
          <w:sz w:val="28"/>
          <w:szCs w:val="28"/>
          <w:shd w:val="clear" w:fill="FFFFFF"/>
        </w:rPr>
        <w:t>。</w:t>
      </w: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0"/>
          <w:sz w:val="28"/>
          <w:szCs w:val="28"/>
          <w:shd w:val="clear" w:fill="FFFFFF"/>
        </w:rPr>
        <w:br w:type="page"/>
      </w:r>
    </w:p>
    <w:p>
      <w:pPr>
        <w:pStyle w:val="19"/>
        <w:spacing w:line="360" w:lineRule="auto"/>
        <w:rPr>
          <w:b/>
          <w:spacing w:val="200"/>
        </w:rPr>
      </w:pPr>
      <w:r>
        <w:rPr>
          <w:rFonts w:hint="eastAsia"/>
          <w:b/>
          <w:spacing w:val="200"/>
        </w:rPr>
        <w:t>目录</w:t>
      </w:r>
    </w:p>
    <w:p>
      <w:pPr>
        <w:pStyle w:val="19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fldChar w:fldCharType="begin"/>
      </w:r>
      <w:r>
        <w:rPr>
          <w:rFonts w:ascii="宋体" w:hAnsi="宋体"/>
          <w:sz w:val="28"/>
          <w:szCs w:val="28"/>
        </w:rPr>
        <w:instrText xml:space="preserve"> TOC \o "1-3" \h \z \u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Fonts w:ascii="宋体" w:hAnsi="宋体"/>
          <w:sz w:val="28"/>
          <w:szCs w:val="28"/>
        </w:rPr>
        <w:fldChar w:fldCharType="begin"/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instrText xml:space="preserve">HYPERLINK \l "_Toc23163281"</w:instrText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Style w:val="31"/>
          <w:rFonts w:hint="eastAsia" w:ascii="宋体" w:hAnsi="宋体"/>
          <w:sz w:val="28"/>
          <w:szCs w:val="28"/>
        </w:rPr>
        <w:t>一、 注册账号及完善基本信息</w:t>
      </w:r>
      <w:r>
        <w:rPr>
          <w:rFonts w:ascii="宋体" w:hAnsi="宋体"/>
          <w:sz w:val="28"/>
          <w:szCs w:val="28"/>
        </w:rPr>
        <w:tab/>
      </w:r>
      <w:r>
        <w:rPr>
          <w:rFonts w:ascii="宋体" w:hAnsi="宋体"/>
          <w:sz w:val="28"/>
          <w:szCs w:val="28"/>
        </w:rPr>
        <w:fldChar w:fldCharType="begin"/>
      </w:r>
      <w:r>
        <w:rPr>
          <w:rFonts w:ascii="宋体" w:hAnsi="宋体"/>
          <w:sz w:val="28"/>
          <w:szCs w:val="28"/>
        </w:rPr>
        <w:instrText xml:space="preserve"> PAGEREF _Toc23163281 \h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Fonts w:ascii="宋体" w:hAnsi="宋体"/>
          <w:sz w:val="28"/>
          <w:szCs w:val="28"/>
        </w:rPr>
        <w:t>2</w:t>
      </w:r>
      <w:r>
        <w:rPr>
          <w:rFonts w:ascii="宋体" w:hAnsi="宋体"/>
          <w:sz w:val="28"/>
          <w:szCs w:val="28"/>
        </w:rPr>
        <w:fldChar w:fldCharType="end"/>
      </w:r>
      <w:r>
        <w:rPr>
          <w:rFonts w:ascii="宋体" w:hAnsi="宋体"/>
          <w:sz w:val="28"/>
          <w:szCs w:val="28"/>
        </w:rPr>
        <w:fldChar w:fldCharType="end"/>
      </w:r>
    </w:p>
    <w:p>
      <w:pPr>
        <w:pStyle w:val="22"/>
        <w:tabs>
          <w:tab w:val="right" w:leader="dot" w:pos="8258"/>
        </w:tabs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fldChar w:fldCharType="begin"/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instrText xml:space="preserve">HYPERLINK \l "_Toc23163282"</w:instrText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Style w:val="31"/>
          <w:rFonts w:hint="eastAsia" w:ascii="宋体" w:hAnsi="宋体"/>
          <w:sz w:val="28"/>
          <w:szCs w:val="28"/>
        </w:rPr>
        <w:t>1.1、 注册账号</w:t>
      </w:r>
      <w:r>
        <w:rPr>
          <w:rFonts w:ascii="宋体" w:hAnsi="宋体"/>
          <w:sz w:val="28"/>
          <w:szCs w:val="28"/>
        </w:rPr>
        <w:tab/>
      </w:r>
      <w:r>
        <w:rPr>
          <w:rFonts w:ascii="宋体" w:hAnsi="宋体"/>
          <w:sz w:val="28"/>
          <w:szCs w:val="28"/>
        </w:rPr>
        <w:fldChar w:fldCharType="begin"/>
      </w:r>
      <w:r>
        <w:rPr>
          <w:rFonts w:ascii="宋体" w:hAnsi="宋体"/>
          <w:sz w:val="28"/>
          <w:szCs w:val="28"/>
        </w:rPr>
        <w:instrText xml:space="preserve"> PAGEREF _Toc23163282 \h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Fonts w:ascii="宋体" w:hAnsi="宋体"/>
          <w:sz w:val="28"/>
          <w:szCs w:val="28"/>
        </w:rPr>
        <w:t>2</w:t>
      </w:r>
      <w:r>
        <w:rPr>
          <w:rFonts w:ascii="宋体" w:hAnsi="宋体"/>
          <w:sz w:val="28"/>
          <w:szCs w:val="28"/>
        </w:rPr>
        <w:fldChar w:fldCharType="end"/>
      </w:r>
      <w:r>
        <w:rPr>
          <w:rFonts w:ascii="宋体" w:hAnsi="宋体"/>
          <w:sz w:val="28"/>
          <w:szCs w:val="28"/>
        </w:rPr>
        <w:fldChar w:fldCharType="end"/>
      </w:r>
    </w:p>
    <w:p>
      <w:pPr>
        <w:pStyle w:val="22"/>
        <w:tabs>
          <w:tab w:val="right" w:leader="dot" w:pos="8258"/>
        </w:tabs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fldChar w:fldCharType="begin"/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instrText xml:space="preserve">HYPERLINK \l "_Toc23163283"</w:instrText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Style w:val="31"/>
          <w:rFonts w:hint="eastAsia" w:ascii="宋体" w:hAnsi="宋体"/>
          <w:sz w:val="28"/>
          <w:szCs w:val="28"/>
        </w:rPr>
        <w:t>1.2、 完善基本信息</w:t>
      </w:r>
      <w:r>
        <w:rPr>
          <w:rFonts w:ascii="宋体" w:hAnsi="宋体"/>
          <w:sz w:val="28"/>
          <w:szCs w:val="28"/>
        </w:rPr>
        <w:tab/>
      </w:r>
      <w:r>
        <w:rPr>
          <w:rFonts w:ascii="宋体" w:hAnsi="宋体"/>
          <w:sz w:val="28"/>
          <w:szCs w:val="28"/>
        </w:rPr>
        <w:fldChar w:fldCharType="begin"/>
      </w:r>
      <w:r>
        <w:rPr>
          <w:rFonts w:ascii="宋体" w:hAnsi="宋体"/>
          <w:sz w:val="28"/>
          <w:szCs w:val="28"/>
        </w:rPr>
        <w:instrText xml:space="preserve"> PAGEREF _Toc23163283 \h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Fonts w:ascii="宋体" w:hAnsi="宋体"/>
          <w:sz w:val="28"/>
          <w:szCs w:val="28"/>
        </w:rPr>
        <w:t>3</w:t>
      </w:r>
      <w:r>
        <w:rPr>
          <w:rFonts w:ascii="宋体" w:hAnsi="宋体"/>
          <w:sz w:val="28"/>
          <w:szCs w:val="28"/>
        </w:rPr>
        <w:fldChar w:fldCharType="end"/>
      </w:r>
      <w:r>
        <w:rPr>
          <w:rFonts w:ascii="宋体" w:hAnsi="宋体"/>
          <w:sz w:val="28"/>
          <w:szCs w:val="28"/>
        </w:rPr>
        <w:fldChar w:fldCharType="end"/>
      </w:r>
    </w:p>
    <w:p>
      <w:pPr>
        <w:pStyle w:val="19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fldChar w:fldCharType="begin"/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instrText xml:space="preserve">HYPERLINK \l "_Toc23163284"</w:instrText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Style w:val="31"/>
          <w:rFonts w:hint="eastAsia" w:ascii="宋体" w:hAnsi="宋体"/>
          <w:sz w:val="28"/>
          <w:szCs w:val="28"/>
        </w:rPr>
        <w:t>二、 办理项目受理</w:t>
      </w:r>
      <w:r>
        <w:rPr>
          <w:rFonts w:ascii="宋体" w:hAnsi="宋体"/>
          <w:sz w:val="28"/>
          <w:szCs w:val="28"/>
        </w:rPr>
        <w:tab/>
      </w:r>
      <w:r>
        <w:rPr>
          <w:rFonts w:ascii="宋体" w:hAnsi="宋体"/>
          <w:sz w:val="28"/>
          <w:szCs w:val="28"/>
        </w:rPr>
        <w:fldChar w:fldCharType="begin"/>
      </w:r>
      <w:r>
        <w:rPr>
          <w:rFonts w:ascii="宋体" w:hAnsi="宋体"/>
          <w:sz w:val="28"/>
          <w:szCs w:val="28"/>
        </w:rPr>
        <w:instrText xml:space="preserve"> PAGEREF _Toc23163284 \h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Fonts w:ascii="宋体" w:hAnsi="宋体"/>
          <w:sz w:val="28"/>
          <w:szCs w:val="28"/>
        </w:rPr>
        <w:t>5</w:t>
      </w:r>
      <w:r>
        <w:rPr>
          <w:rFonts w:ascii="宋体" w:hAnsi="宋体"/>
          <w:sz w:val="28"/>
          <w:szCs w:val="28"/>
        </w:rPr>
        <w:fldChar w:fldCharType="end"/>
      </w:r>
      <w:r>
        <w:rPr>
          <w:rFonts w:ascii="宋体" w:hAnsi="宋体"/>
          <w:sz w:val="28"/>
          <w:szCs w:val="28"/>
        </w:rPr>
        <w:fldChar w:fldCharType="end"/>
      </w:r>
    </w:p>
    <w:p>
      <w:pPr>
        <w:pStyle w:val="22"/>
        <w:tabs>
          <w:tab w:val="right" w:leader="dot" w:pos="8258"/>
        </w:tabs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fldChar w:fldCharType="begin"/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instrText xml:space="preserve">HYPERLINK \l "_Toc23163285"</w:instrText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Style w:val="31"/>
          <w:rFonts w:hint="eastAsia" w:ascii="宋体" w:hAnsi="宋体"/>
          <w:sz w:val="28"/>
          <w:szCs w:val="28"/>
        </w:rPr>
        <w:t>2.1、 登录公共资源云平台</w:t>
      </w:r>
      <w:r>
        <w:rPr>
          <w:rFonts w:ascii="宋体" w:hAnsi="宋体"/>
          <w:sz w:val="28"/>
          <w:szCs w:val="28"/>
        </w:rPr>
        <w:tab/>
      </w:r>
      <w:r>
        <w:rPr>
          <w:rFonts w:ascii="宋体" w:hAnsi="宋体"/>
          <w:sz w:val="28"/>
          <w:szCs w:val="28"/>
        </w:rPr>
        <w:fldChar w:fldCharType="begin"/>
      </w:r>
      <w:r>
        <w:rPr>
          <w:rFonts w:ascii="宋体" w:hAnsi="宋体"/>
          <w:sz w:val="28"/>
          <w:szCs w:val="28"/>
        </w:rPr>
        <w:instrText xml:space="preserve"> PAGEREF _Toc23163285 \h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Fonts w:ascii="宋体" w:hAnsi="宋体"/>
          <w:sz w:val="28"/>
          <w:szCs w:val="28"/>
        </w:rPr>
        <w:t>5</w:t>
      </w:r>
      <w:r>
        <w:rPr>
          <w:rFonts w:ascii="宋体" w:hAnsi="宋体"/>
          <w:sz w:val="28"/>
          <w:szCs w:val="28"/>
        </w:rPr>
        <w:fldChar w:fldCharType="end"/>
      </w:r>
      <w:r>
        <w:rPr>
          <w:rFonts w:ascii="宋体" w:hAnsi="宋体"/>
          <w:sz w:val="28"/>
          <w:szCs w:val="28"/>
        </w:rPr>
        <w:fldChar w:fldCharType="end"/>
      </w:r>
    </w:p>
    <w:p>
      <w:pPr>
        <w:pStyle w:val="22"/>
        <w:tabs>
          <w:tab w:val="right" w:leader="dot" w:pos="8258"/>
        </w:tabs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fldChar w:fldCharType="begin"/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instrText xml:space="preserve">HYPERLINK \l "_Toc23163286"</w:instrText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Style w:val="31"/>
          <w:rFonts w:hint="eastAsia" w:ascii="宋体" w:hAnsi="宋体"/>
          <w:sz w:val="28"/>
          <w:szCs w:val="28"/>
        </w:rPr>
        <w:t>2.2、 办理项目受理</w:t>
      </w:r>
      <w:r>
        <w:rPr>
          <w:rFonts w:ascii="宋体" w:hAnsi="宋体"/>
          <w:sz w:val="28"/>
          <w:szCs w:val="28"/>
        </w:rPr>
        <w:tab/>
      </w:r>
      <w:r>
        <w:rPr>
          <w:rFonts w:ascii="宋体" w:hAnsi="宋体"/>
          <w:sz w:val="28"/>
          <w:szCs w:val="28"/>
        </w:rPr>
        <w:fldChar w:fldCharType="begin"/>
      </w:r>
      <w:r>
        <w:rPr>
          <w:rFonts w:ascii="宋体" w:hAnsi="宋体"/>
          <w:sz w:val="28"/>
          <w:szCs w:val="28"/>
        </w:rPr>
        <w:instrText xml:space="preserve"> PAGEREF _Toc23163286 \h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Fonts w:ascii="宋体" w:hAnsi="宋体"/>
          <w:sz w:val="28"/>
          <w:szCs w:val="28"/>
        </w:rPr>
        <w:t>6</w:t>
      </w:r>
      <w:r>
        <w:rPr>
          <w:rFonts w:ascii="宋体" w:hAnsi="宋体"/>
          <w:sz w:val="28"/>
          <w:szCs w:val="28"/>
        </w:rPr>
        <w:fldChar w:fldCharType="end"/>
      </w:r>
      <w:r>
        <w:rPr>
          <w:rFonts w:ascii="宋体" w:hAnsi="宋体"/>
          <w:sz w:val="28"/>
          <w:szCs w:val="28"/>
        </w:rPr>
        <w:fldChar w:fldCharType="end"/>
      </w:r>
    </w:p>
    <w:p>
      <w:pPr>
        <w:pStyle w:val="19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fldChar w:fldCharType="begin"/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instrText xml:space="preserve">HYPERLINK \l "_Toc23163288"</w:instrText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Style w:val="31"/>
          <w:rFonts w:hint="eastAsia" w:ascii="宋体" w:hAnsi="宋体"/>
          <w:sz w:val="28"/>
          <w:szCs w:val="28"/>
        </w:rPr>
        <w:t>三、 发布挂牌信息公告</w:t>
      </w:r>
      <w:r>
        <w:rPr>
          <w:rFonts w:ascii="宋体" w:hAnsi="宋体"/>
          <w:sz w:val="28"/>
          <w:szCs w:val="28"/>
        </w:rPr>
        <w:tab/>
      </w:r>
      <w:r>
        <w:rPr>
          <w:rFonts w:ascii="宋体" w:hAnsi="宋体"/>
          <w:sz w:val="28"/>
          <w:szCs w:val="28"/>
        </w:rPr>
        <w:fldChar w:fldCharType="begin"/>
      </w:r>
      <w:r>
        <w:rPr>
          <w:rFonts w:ascii="宋体" w:hAnsi="宋体"/>
          <w:sz w:val="28"/>
          <w:szCs w:val="28"/>
        </w:rPr>
        <w:instrText xml:space="preserve"> PAGEREF _Toc23163288 \h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Fonts w:ascii="宋体" w:hAnsi="宋体"/>
          <w:sz w:val="28"/>
          <w:szCs w:val="28"/>
        </w:rPr>
        <w:t>7</w:t>
      </w:r>
      <w:r>
        <w:rPr>
          <w:rFonts w:ascii="宋体" w:hAnsi="宋体"/>
          <w:sz w:val="28"/>
          <w:szCs w:val="28"/>
        </w:rPr>
        <w:fldChar w:fldCharType="end"/>
      </w:r>
      <w:r>
        <w:rPr>
          <w:rFonts w:ascii="宋体" w:hAnsi="宋体"/>
          <w:sz w:val="28"/>
          <w:szCs w:val="28"/>
        </w:rPr>
        <w:fldChar w:fldCharType="end"/>
      </w:r>
    </w:p>
    <w:p>
      <w:pPr>
        <w:pStyle w:val="22"/>
        <w:tabs>
          <w:tab w:val="right" w:leader="dot" w:pos="8258"/>
        </w:tabs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fldChar w:fldCharType="begin"/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instrText xml:space="preserve">HYPERLINK \l "_Toc23163289"</w:instrText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Style w:val="31"/>
          <w:rFonts w:hint="eastAsia" w:ascii="宋体" w:hAnsi="宋体"/>
          <w:sz w:val="28"/>
          <w:szCs w:val="28"/>
        </w:rPr>
        <w:t>3.1、 登录产权业务管理系统</w:t>
      </w:r>
      <w:r>
        <w:rPr>
          <w:rFonts w:ascii="宋体" w:hAnsi="宋体"/>
          <w:sz w:val="28"/>
          <w:szCs w:val="28"/>
        </w:rPr>
        <w:tab/>
      </w:r>
      <w:r>
        <w:rPr>
          <w:rFonts w:ascii="宋体" w:hAnsi="宋体"/>
          <w:sz w:val="28"/>
          <w:szCs w:val="28"/>
        </w:rPr>
        <w:fldChar w:fldCharType="begin"/>
      </w:r>
      <w:r>
        <w:rPr>
          <w:rFonts w:ascii="宋体" w:hAnsi="宋体"/>
          <w:sz w:val="28"/>
          <w:szCs w:val="28"/>
        </w:rPr>
        <w:instrText xml:space="preserve"> PAGEREF _Toc23163289 \h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Fonts w:ascii="宋体" w:hAnsi="宋体"/>
          <w:sz w:val="28"/>
          <w:szCs w:val="28"/>
        </w:rPr>
        <w:t>7</w:t>
      </w:r>
      <w:r>
        <w:rPr>
          <w:rFonts w:ascii="宋体" w:hAnsi="宋体"/>
          <w:sz w:val="28"/>
          <w:szCs w:val="28"/>
        </w:rPr>
        <w:fldChar w:fldCharType="end"/>
      </w:r>
      <w:r>
        <w:rPr>
          <w:rFonts w:ascii="宋体" w:hAnsi="宋体"/>
          <w:sz w:val="28"/>
          <w:szCs w:val="28"/>
        </w:rPr>
        <w:fldChar w:fldCharType="end"/>
      </w:r>
    </w:p>
    <w:p>
      <w:pPr>
        <w:pStyle w:val="22"/>
        <w:tabs>
          <w:tab w:val="right" w:leader="dot" w:pos="8258"/>
        </w:tabs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fldChar w:fldCharType="begin"/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instrText xml:space="preserve">HYPERLINK \l "_Toc23163290"</w:instrText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Style w:val="31"/>
          <w:rFonts w:hint="eastAsia" w:ascii="宋体" w:hAnsi="宋体"/>
          <w:sz w:val="28"/>
          <w:szCs w:val="28"/>
        </w:rPr>
        <w:t>3.2、 完善挂牌信息</w:t>
      </w:r>
      <w:r>
        <w:rPr>
          <w:rFonts w:ascii="宋体" w:hAnsi="宋体"/>
          <w:sz w:val="28"/>
          <w:szCs w:val="28"/>
        </w:rPr>
        <w:tab/>
      </w:r>
      <w:r>
        <w:rPr>
          <w:rFonts w:ascii="宋体" w:hAnsi="宋体"/>
          <w:sz w:val="28"/>
          <w:szCs w:val="28"/>
        </w:rPr>
        <w:fldChar w:fldCharType="begin"/>
      </w:r>
      <w:r>
        <w:rPr>
          <w:rFonts w:ascii="宋体" w:hAnsi="宋体"/>
          <w:sz w:val="28"/>
          <w:szCs w:val="28"/>
        </w:rPr>
        <w:instrText xml:space="preserve"> PAGEREF _Toc23163290 \h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Fonts w:ascii="宋体" w:hAnsi="宋体"/>
          <w:sz w:val="28"/>
          <w:szCs w:val="28"/>
        </w:rPr>
        <w:t>10</w:t>
      </w:r>
      <w:r>
        <w:rPr>
          <w:rFonts w:ascii="宋体" w:hAnsi="宋体"/>
          <w:sz w:val="28"/>
          <w:szCs w:val="28"/>
        </w:rPr>
        <w:fldChar w:fldCharType="end"/>
      </w:r>
      <w:r>
        <w:rPr>
          <w:rFonts w:ascii="宋体" w:hAnsi="宋体"/>
          <w:sz w:val="28"/>
          <w:szCs w:val="28"/>
        </w:rPr>
        <w:fldChar w:fldCharType="end"/>
      </w:r>
      <w:bookmarkStart w:id="17" w:name="_GoBack"/>
      <w:bookmarkEnd w:id="17"/>
    </w:p>
    <w:p>
      <w:pPr>
        <w:pStyle w:val="22"/>
        <w:tabs>
          <w:tab w:val="right" w:leader="dot" w:pos="8258"/>
        </w:tabs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fldChar w:fldCharType="begin"/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instrText xml:space="preserve">HYPERLINK \l "_Toc23163291"</w:instrText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Style w:val="31"/>
          <w:rFonts w:hint="eastAsia" w:ascii="宋体" w:hAnsi="宋体"/>
          <w:sz w:val="28"/>
          <w:szCs w:val="28"/>
        </w:rPr>
        <w:t>3.3、 确认挂牌信息</w:t>
      </w:r>
      <w:r>
        <w:rPr>
          <w:rFonts w:ascii="宋体" w:hAnsi="宋体"/>
          <w:sz w:val="28"/>
          <w:szCs w:val="28"/>
        </w:rPr>
        <w:tab/>
      </w:r>
      <w:r>
        <w:rPr>
          <w:rFonts w:ascii="宋体" w:hAnsi="宋体"/>
          <w:sz w:val="28"/>
          <w:szCs w:val="28"/>
        </w:rPr>
        <w:fldChar w:fldCharType="begin"/>
      </w:r>
      <w:r>
        <w:rPr>
          <w:rFonts w:ascii="宋体" w:hAnsi="宋体"/>
          <w:sz w:val="28"/>
          <w:szCs w:val="28"/>
        </w:rPr>
        <w:instrText xml:space="preserve"> PAGEREF _Toc23163291 \h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Fonts w:ascii="宋体" w:hAnsi="宋体"/>
          <w:sz w:val="28"/>
          <w:szCs w:val="28"/>
        </w:rPr>
        <w:t>12</w:t>
      </w:r>
      <w:r>
        <w:rPr>
          <w:rFonts w:ascii="宋体" w:hAnsi="宋体"/>
          <w:sz w:val="28"/>
          <w:szCs w:val="28"/>
        </w:rPr>
        <w:fldChar w:fldCharType="end"/>
      </w:r>
      <w:r>
        <w:rPr>
          <w:rFonts w:ascii="宋体" w:hAnsi="宋体"/>
          <w:sz w:val="28"/>
          <w:szCs w:val="28"/>
        </w:rPr>
        <w:fldChar w:fldCharType="end"/>
      </w:r>
    </w:p>
    <w:p>
      <w:pPr>
        <w:pStyle w:val="19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fldChar w:fldCharType="begin"/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instrText xml:space="preserve">HYPERLINK \l "_Toc23163292"</w:instrText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Style w:val="31"/>
          <w:rFonts w:hint="eastAsia" w:ascii="宋体" w:hAnsi="宋体"/>
          <w:sz w:val="28"/>
          <w:szCs w:val="28"/>
        </w:rPr>
        <w:t>四、 资格审核及其他流程</w:t>
      </w:r>
      <w:r>
        <w:rPr>
          <w:rFonts w:ascii="宋体" w:hAnsi="宋体"/>
          <w:sz w:val="28"/>
          <w:szCs w:val="28"/>
        </w:rPr>
        <w:tab/>
      </w:r>
      <w:r>
        <w:rPr>
          <w:rFonts w:ascii="宋体" w:hAnsi="宋体"/>
          <w:sz w:val="28"/>
          <w:szCs w:val="28"/>
        </w:rPr>
        <w:fldChar w:fldCharType="begin"/>
      </w:r>
      <w:r>
        <w:rPr>
          <w:rFonts w:ascii="宋体" w:hAnsi="宋体"/>
          <w:sz w:val="28"/>
          <w:szCs w:val="28"/>
        </w:rPr>
        <w:instrText xml:space="preserve"> PAGEREF _Toc23163292 \h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Fonts w:ascii="宋体" w:hAnsi="宋体"/>
          <w:sz w:val="28"/>
          <w:szCs w:val="28"/>
        </w:rPr>
        <w:t>12</w:t>
      </w:r>
      <w:r>
        <w:rPr>
          <w:rFonts w:ascii="宋体" w:hAnsi="宋体"/>
          <w:sz w:val="28"/>
          <w:szCs w:val="28"/>
        </w:rPr>
        <w:fldChar w:fldCharType="end"/>
      </w:r>
      <w:r>
        <w:rPr>
          <w:rFonts w:ascii="宋体" w:hAnsi="宋体"/>
          <w:sz w:val="28"/>
          <w:szCs w:val="28"/>
        </w:rPr>
        <w:fldChar w:fldCharType="end"/>
      </w:r>
    </w:p>
    <w:p>
      <w:pPr>
        <w:pStyle w:val="22"/>
        <w:tabs>
          <w:tab w:val="right" w:leader="dot" w:pos="8258"/>
        </w:tabs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fldChar w:fldCharType="begin"/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instrText xml:space="preserve">HYPERLINK \l "_Toc23163293"</w:instrText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Style w:val="31"/>
          <w:rFonts w:hint="eastAsia" w:ascii="宋体" w:hAnsi="宋体"/>
          <w:sz w:val="28"/>
          <w:szCs w:val="28"/>
        </w:rPr>
        <w:t>4.1、 委托方报名资格审核</w:t>
      </w:r>
      <w:r>
        <w:rPr>
          <w:rFonts w:ascii="宋体" w:hAnsi="宋体"/>
          <w:sz w:val="28"/>
          <w:szCs w:val="28"/>
        </w:rPr>
        <w:tab/>
      </w:r>
      <w:r>
        <w:rPr>
          <w:rFonts w:ascii="宋体" w:hAnsi="宋体"/>
          <w:sz w:val="28"/>
          <w:szCs w:val="28"/>
        </w:rPr>
        <w:fldChar w:fldCharType="begin"/>
      </w:r>
      <w:r>
        <w:rPr>
          <w:rFonts w:ascii="宋体" w:hAnsi="宋体"/>
          <w:sz w:val="28"/>
          <w:szCs w:val="28"/>
        </w:rPr>
        <w:instrText xml:space="preserve"> PAGEREF _Toc23163293 \h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Fonts w:ascii="宋体" w:hAnsi="宋体"/>
          <w:sz w:val="28"/>
          <w:szCs w:val="28"/>
        </w:rPr>
        <w:t>12</w:t>
      </w:r>
      <w:r>
        <w:rPr>
          <w:rFonts w:ascii="宋体" w:hAnsi="宋体"/>
          <w:sz w:val="28"/>
          <w:szCs w:val="28"/>
        </w:rPr>
        <w:fldChar w:fldCharType="end"/>
      </w:r>
      <w:r>
        <w:rPr>
          <w:rFonts w:ascii="宋体" w:hAnsi="宋体"/>
          <w:sz w:val="28"/>
          <w:szCs w:val="28"/>
        </w:rPr>
        <w:fldChar w:fldCharType="end"/>
      </w:r>
    </w:p>
    <w:p>
      <w:pPr>
        <w:pStyle w:val="22"/>
        <w:tabs>
          <w:tab w:val="right" w:leader="dot" w:pos="8258"/>
        </w:tabs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fldChar w:fldCharType="begin"/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instrText xml:space="preserve">HYPERLINK \l "_Toc23163294"</w:instrText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Style w:val="31"/>
          <w:rFonts w:hint="eastAsia" w:ascii="宋体" w:hAnsi="宋体"/>
          <w:sz w:val="28"/>
          <w:szCs w:val="28"/>
        </w:rPr>
        <w:t>4.2、 受让方确认</w:t>
      </w:r>
      <w:r>
        <w:rPr>
          <w:rFonts w:ascii="宋体" w:hAnsi="宋体"/>
          <w:sz w:val="28"/>
          <w:szCs w:val="28"/>
        </w:rPr>
        <w:tab/>
      </w:r>
      <w:r>
        <w:rPr>
          <w:rFonts w:ascii="宋体" w:hAnsi="宋体"/>
          <w:sz w:val="28"/>
          <w:szCs w:val="28"/>
        </w:rPr>
        <w:fldChar w:fldCharType="begin"/>
      </w:r>
      <w:r>
        <w:rPr>
          <w:rFonts w:ascii="宋体" w:hAnsi="宋体"/>
          <w:sz w:val="28"/>
          <w:szCs w:val="28"/>
        </w:rPr>
        <w:instrText xml:space="preserve"> PAGEREF _Toc23163294 \h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Fonts w:ascii="宋体" w:hAnsi="宋体"/>
          <w:sz w:val="28"/>
          <w:szCs w:val="28"/>
        </w:rPr>
        <w:t>14</w:t>
      </w:r>
      <w:r>
        <w:rPr>
          <w:rFonts w:ascii="宋体" w:hAnsi="宋体"/>
          <w:sz w:val="28"/>
          <w:szCs w:val="28"/>
        </w:rPr>
        <w:fldChar w:fldCharType="end"/>
      </w:r>
      <w:r>
        <w:rPr>
          <w:rFonts w:ascii="宋体" w:hAnsi="宋体"/>
          <w:sz w:val="28"/>
          <w:szCs w:val="28"/>
        </w:rPr>
        <w:fldChar w:fldCharType="end"/>
      </w:r>
    </w:p>
    <w:p>
      <w:pPr>
        <w:pStyle w:val="22"/>
        <w:tabs>
          <w:tab w:val="right" w:leader="dot" w:pos="8258"/>
        </w:tabs>
        <w:rPr>
          <w:rStyle w:val="31"/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fldChar w:fldCharType="begin"/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instrText xml:space="preserve">HYPERLINK \l "_Toc23163295"</w:instrText>
      </w:r>
      <w:r>
        <w:rPr>
          <w:rStyle w:val="31"/>
          <w:rFonts w:ascii="宋体" w:hAnsi="宋体"/>
          <w:sz w:val="28"/>
          <w:szCs w:val="28"/>
        </w:rPr>
        <w:instrText xml:space="preserve">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Style w:val="31"/>
          <w:rFonts w:hint="eastAsia" w:ascii="宋体" w:hAnsi="宋体"/>
          <w:sz w:val="28"/>
          <w:szCs w:val="28"/>
        </w:rPr>
        <w:t>4.3、 重新挂牌申请</w:t>
      </w:r>
      <w:r>
        <w:rPr>
          <w:rFonts w:ascii="宋体" w:hAnsi="宋体"/>
          <w:sz w:val="28"/>
          <w:szCs w:val="28"/>
        </w:rPr>
        <w:tab/>
      </w:r>
      <w:r>
        <w:rPr>
          <w:rFonts w:ascii="宋体" w:hAnsi="宋体"/>
          <w:sz w:val="28"/>
          <w:szCs w:val="28"/>
        </w:rPr>
        <w:fldChar w:fldCharType="begin"/>
      </w:r>
      <w:r>
        <w:rPr>
          <w:rFonts w:ascii="宋体" w:hAnsi="宋体"/>
          <w:sz w:val="28"/>
          <w:szCs w:val="28"/>
        </w:rPr>
        <w:instrText xml:space="preserve"> PAGEREF _Toc23163295 \h </w:instrText>
      </w:r>
      <w:r>
        <w:rPr>
          <w:rFonts w:ascii="宋体" w:hAnsi="宋体"/>
          <w:sz w:val="28"/>
          <w:szCs w:val="28"/>
        </w:rPr>
        <w:fldChar w:fldCharType="separate"/>
      </w:r>
      <w:r>
        <w:rPr>
          <w:rFonts w:ascii="宋体" w:hAnsi="宋体"/>
          <w:sz w:val="28"/>
          <w:szCs w:val="28"/>
        </w:rPr>
        <w:t>14</w:t>
      </w:r>
      <w:r>
        <w:rPr>
          <w:rFonts w:ascii="宋体" w:hAnsi="宋体"/>
          <w:sz w:val="28"/>
          <w:szCs w:val="28"/>
        </w:rPr>
        <w:fldChar w:fldCharType="end"/>
      </w:r>
      <w:r>
        <w:rPr>
          <w:rFonts w:ascii="宋体" w:hAnsi="宋体"/>
          <w:sz w:val="28"/>
          <w:szCs w:val="28"/>
        </w:rPr>
        <w:fldChar w:fldCharType="end"/>
      </w:r>
    </w:p>
    <w:p>
      <w:r>
        <w:rPr>
          <w:rStyle w:val="31"/>
          <w:rFonts w:ascii="宋体" w:hAnsi="宋体"/>
          <w:sz w:val="28"/>
          <w:szCs w:val="28"/>
        </w:rPr>
        <w:br w:type="page"/>
      </w:r>
    </w:p>
    <w:p>
      <w:pPr>
        <w:pStyle w:val="2"/>
        <w:numPr>
          <w:ilvl w:val="0"/>
          <w:numId w:val="2"/>
        </w:numPr>
        <w:ind w:left="0" w:firstLine="0"/>
        <w:rPr>
          <w:rFonts w:hint="eastAsia"/>
          <w:lang w:eastAsia="zh-CN"/>
        </w:rPr>
      </w:pPr>
      <w:r>
        <w:rPr>
          <w:rFonts w:ascii="宋体" w:hAnsi="宋体"/>
          <w:sz w:val="28"/>
        </w:rPr>
        <w:fldChar w:fldCharType="end"/>
      </w:r>
      <w:bookmarkStart w:id="0" w:name="_Toc23163281"/>
      <w:r>
        <w:rPr>
          <w:szCs w:val="21"/>
        </w:rPr>
        <w:t>注</w:t>
      </w:r>
      <w:r>
        <w:rPr>
          <w:rFonts w:hint="eastAsia"/>
          <w:lang w:eastAsia="zh-CN"/>
        </w:rPr>
        <w:t>册账号及完善基本信息</w:t>
      </w:r>
      <w:bookmarkEnd w:id="0"/>
    </w:p>
    <w:p>
      <w:pPr>
        <w:pStyle w:val="3"/>
        <w:rPr>
          <w:rFonts w:hint="eastAsia"/>
        </w:rPr>
      </w:pPr>
      <w:bookmarkStart w:id="1" w:name="_Toc21596558"/>
      <w:bookmarkStart w:id="2" w:name="_Toc23163282"/>
      <w:r>
        <w:rPr>
          <w:rFonts w:hint="eastAsia"/>
        </w:rPr>
        <w:t>注册账号</w:t>
      </w:r>
      <w:bookmarkEnd w:id="1"/>
      <w:bookmarkEnd w:id="2"/>
      <w:r>
        <w:rPr>
          <w:rFonts w:hint="eastAsia"/>
          <w:lang w:eastAsia="zh-CN"/>
        </w:rPr>
        <w:t>（</w:t>
      </w:r>
      <w:r>
        <w:rPr>
          <w:rFonts w:hint="eastAsia"/>
          <w:color w:val="FF0000"/>
          <w:highlight w:val="none"/>
          <w:lang w:eastAsia="zh-CN"/>
        </w:rPr>
        <w:t>已有工程</w:t>
      </w:r>
      <w:r>
        <w:rPr>
          <w:rFonts w:hint="eastAsia"/>
          <w:color w:val="FF0000"/>
          <w:highlight w:val="none"/>
          <w:lang w:val="en-US" w:eastAsia="zh-CN"/>
        </w:rPr>
        <w:t>CA</w:t>
      </w:r>
      <w:r>
        <w:rPr>
          <w:rFonts w:hint="eastAsia"/>
          <w:color w:val="FF0000"/>
          <w:highlight w:val="none"/>
          <w:lang w:eastAsia="zh-CN"/>
        </w:rPr>
        <w:t>锁的用户无需注册</w:t>
      </w:r>
      <w:r>
        <w:rPr>
          <w:rFonts w:hint="eastAsia"/>
          <w:highlight w:val="none"/>
          <w:lang w:eastAsia="zh-CN"/>
        </w:rPr>
        <w:t>）</w:t>
      </w:r>
    </w:p>
    <w:p>
      <w:pPr>
        <w:spacing w:line="360" w:lineRule="auto"/>
        <w:ind w:firstLine="576" w:firstLineChars="200"/>
        <w:jc w:val="left"/>
        <w:rPr>
          <w:rFonts w:hint="eastAsia" w:ascii="宋体" w:hAnsi="宋体"/>
          <w:spacing w:val="4"/>
          <w:sz w:val="28"/>
          <w:szCs w:val="28"/>
        </w:rPr>
      </w:pPr>
      <w:r>
        <w:rPr>
          <w:rFonts w:hint="eastAsia" w:ascii="宋体" w:hAnsi="宋体"/>
          <w:spacing w:val="4"/>
          <w:sz w:val="28"/>
          <w:szCs w:val="28"/>
        </w:rPr>
        <w:t>1、委托方登录南京市公共资源交易中心网站（</w:t>
      </w:r>
      <w:r>
        <w:rPr>
          <w:rFonts w:ascii="宋体" w:hAnsi="宋体"/>
          <w:spacing w:val="4"/>
          <w:sz w:val="28"/>
          <w:szCs w:val="28"/>
        </w:rPr>
        <w:t>njggzy.nanjing.gov.cn</w:t>
      </w:r>
      <w:r>
        <w:rPr>
          <w:rFonts w:hint="eastAsia" w:ascii="宋体" w:hAnsi="宋体"/>
          <w:spacing w:val="4"/>
          <w:sz w:val="28"/>
          <w:szCs w:val="28"/>
        </w:rPr>
        <w:t>）点击“注册”注册帐号，如下图：</w:t>
      </w:r>
    </w:p>
    <w:p>
      <w:pPr>
        <w:spacing w:line="360" w:lineRule="auto"/>
        <w:jc w:val="center"/>
        <w:rPr>
          <w:rFonts w:hint="eastAsia"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inline distT="0" distB="0" distL="114300" distR="114300">
            <wp:extent cx="5239385" cy="2109470"/>
            <wp:effectExtent l="0" t="0" r="18415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rcRect b="11005"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210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76" w:firstLineChars="200"/>
        <w:jc w:val="left"/>
        <w:rPr>
          <w:rFonts w:hint="eastAsia" w:ascii="宋体" w:hAnsi="宋体"/>
          <w:spacing w:val="4"/>
          <w:sz w:val="28"/>
          <w:szCs w:val="28"/>
        </w:rPr>
      </w:pPr>
      <w:r>
        <w:rPr>
          <w:rFonts w:hint="eastAsia" w:ascii="宋体" w:hAnsi="宋体"/>
          <w:spacing w:val="4"/>
          <w:sz w:val="28"/>
          <w:szCs w:val="28"/>
        </w:rPr>
        <w:t>2、仔细阅读注册须知，点“同意”进入下图页面，选取“法人”；输入登录名等信息，勾选“出让人”。</w:t>
      </w:r>
      <w:r>
        <w:rPr>
          <w:rFonts w:hint="eastAsia" w:ascii="宋体" w:hAnsi="宋体"/>
          <w:spacing w:val="4"/>
          <w:sz w:val="28"/>
          <w:szCs w:val="28"/>
        </w:rPr>
        <w:drawing>
          <wp:inline distT="0" distB="0" distL="114300" distR="114300">
            <wp:extent cx="5247640" cy="3780155"/>
            <wp:effectExtent l="0" t="0" r="10160" b="1079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378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76" w:firstLineChars="200"/>
        <w:jc w:val="lef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pacing w:val="4"/>
          <w:sz w:val="28"/>
          <w:szCs w:val="28"/>
        </w:rPr>
        <w:t>3、点击立即注册，注册成功，如下图。</w:t>
      </w:r>
    </w:p>
    <w:p>
      <w:pPr>
        <w:spacing w:line="360" w:lineRule="auto"/>
        <w:jc w:val="left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inline distT="0" distB="0" distL="114300" distR="114300">
            <wp:extent cx="5230495" cy="1820545"/>
            <wp:effectExtent l="0" t="0" r="8255" b="8255"/>
            <wp:docPr id="3" name="图片 3" descr="SW2(_`W)DG50`))V(CFGWF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SW2(_`W)DG50`))V(CFGWFM"/>
                    <pic:cNvPicPr>
                      <a:picLocks noChangeAspect="1"/>
                    </pic:cNvPicPr>
                  </pic:nvPicPr>
                  <pic:blipFill>
                    <a:blip r:embed="rId8"/>
                    <a:srcRect b="9814"/>
                    <a:stretch>
                      <a:fillRect/>
                    </a:stretch>
                  </pic:blipFill>
                  <pic:spPr>
                    <a:xfrm>
                      <a:off x="0" y="0"/>
                      <a:ext cx="5230495" cy="182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方正仿宋_GBK" w:hAnsi="方正仿宋_GBK" w:eastAsia="方正仿宋_GBK" w:cs="方正仿宋_GBK"/>
          <w:sz w:val="32"/>
          <w:szCs w:val="32"/>
          <w:highlight w:val="yellow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 xml:space="preserve">    </w:t>
      </w:r>
      <w:r>
        <w:rPr>
          <w:rFonts w:hint="eastAsia" w:ascii="宋体" w:hAnsi="宋体"/>
          <w:color w:val="FF0000"/>
          <w:sz w:val="28"/>
          <w:szCs w:val="28"/>
          <w:highlight w:val="none"/>
          <w:lang w:val="en-US" w:eastAsia="zh-CN"/>
        </w:rPr>
        <w:t>4、</w:t>
      </w:r>
      <w:r>
        <w:rPr>
          <w:rFonts w:hint="eastAsia" w:ascii="方正仿宋_GBK" w:hAnsi="方正仿宋_GBK" w:eastAsia="方正仿宋_GBK" w:cs="方正仿宋_GBK"/>
          <w:color w:val="FF0000"/>
          <w:sz w:val="32"/>
          <w:szCs w:val="32"/>
          <w:highlight w:val="none"/>
        </w:rPr>
        <w:t>如果提示该单位已注册，</w:t>
      </w:r>
      <w:r>
        <w:rPr>
          <w:rFonts w:hint="eastAsia" w:ascii="方正仿宋_GBK" w:hAnsi="方正仿宋_GBK" w:eastAsia="方正仿宋_GBK" w:cs="方正仿宋_GBK"/>
          <w:color w:val="FF0000"/>
          <w:sz w:val="32"/>
          <w:szCs w:val="32"/>
          <w:highlight w:val="none"/>
          <w:lang w:eastAsia="zh-CN"/>
        </w:rPr>
        <w:t>则</w:t>
      </w:r>
      <w:r>
        <w:rPr>
          <w:rFonts w:hint="eastAsia" w:ascii="方正仿宋_GBK" w:hAnsi="方正仿宋_GBK" w:eastAsia="方正仿宋_GBK" w:cs="方正仿宋_GBK"/>
          <w:color w:val="FF0000"/>
          <w:sz w:val="32"/>
          <w:szCs w:val="32"/>
          <w:highlight w:val="none"/>
        </w:rPr>
        <w:t>说明</w:t>
      </w:r>
      <w:r>
        <w:rPr>
          <w:rFonts w:hint="eastAsia" w:ascii="方正仿宋_GBK" w:hAnsi="方正仿宋_GBK" w:eastAsia="方正仿宋_GBK" w:cs="方正仿宋_GBK"/>
          <w:color w:val="FF0000"/>
          <w:sz w:val="32"/>
          <w:szCs w:val="32"/>
          <w:highlight w:val="none"/>
          <w:lang w:eastAsia="zh-CN"/>
        </w:rPr>
        <w:t>用户</w:t>
      </w:r>
      <w:r>
        <w:rPr>
          <w:rFonts w:hint="eastAsia" w:ascii="方正仿宋_GBK" w:hAnsi="方正仿宋_GBK" w:eastAsia="方正仿宋_GBK" w:cs="方正仿宋_GBK"/>
          <w:color w:val="FF0000"/>
          <w:sz w:val="32"/>
          <w:szCs w:val="32"/>
          <w:highlight w:val="none"/>
        </w:rPr>
        <w:t>已在公共资源交易平台注册，</w:t>
      </w:r>
      <w:r>
        <w:rPr>
          <w:rFonts w:hint="eastAsia" w:ascii="方正仿宋_GBK" w:hAnsi="方正仿宋_GBK" w:eastAsia="方正仿宋_GBK" w:cs="方正仿宋_GBK"/>
          <w:color w:val="FF0000"/>
          <w:sz w:val="32"/>
          <w:szCs w:val="32"/>
          <w:highlight w:val="none"/>
          <w:lang w:eastAsia="zh-CN"/>
        </w:rPr>
        <w:t>点击“忘记密码”，找回</w:t>
      </w:r>
      <w:r>
        <w:rPr>
          <w:rFonts w:hint="eastAsia" w:ascii="方正仿宋_GBK" w:hAnsi="方正仿宋_GBK" w:eastAsia="方正仿宋_GBK" w:cs="方正仿宋_GBK"/>
          <w:color w:val="FF0000"/>
          <w:sz w:val="32"/>
          <w:szCs w:val="32"/>
          <w:highlight w:val="none"/>
        </w:rPr>
        <w:t>密码。</w:t>
      </w:r>
    </w:p>
    <w:p>
      <w:pPr>
        <w:pStyle w:val="3"/>
        <w:rPr>
          <w:rFonts w:hint="eastAsia"/>
        </w:rPr>
      </w:pPr>
      <w:bookmarkStart w:id="3" w:name="_Toc23163283"/>
      <w:bookmarkStart w:id="4" w:name="_Toc21596559"/>
      <w:r>
        <w:rPr>
          <w:rFonts w:hint="eastAsia"/>
        </w:rPr>
        <w:t>完善基本信息</w:t>
      </w:r>
      <w:bookmarkEnd w:id="3"/>
      <w:bookmarkEnd w:id="4"/>
    </w:p>
    <w:p>
      <w:pPr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 xml:space="preserve">1、点击注册成功页面的“立即登录”或用注册的账号登录平台，进入如下页面。 </w: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drawing>
          <wp:inline distT="0" distB="0" distL="114300" distR="114300">
            <wp:extent cx="5243830" cy="2625090"/>
            <wp:effectExtent l="0" t="0" r="1397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/>
          <w:sz w:val="28"/>
          <w:szCs w:val="28"/>
        </w:rPr>
      </w:pPr>
      <w:r>
        <w:drawing>
          <wp:inline distT="0" distB="0" distL="114300" distR="114300">
            <wp:extent cx="5280660" cy="2172335"/>
            <wp:effectExtent l="0" t="0" r="15240" b="18415"/>
            <wp:docPr id="5" name="图片 5" descr="[B5L8%[[AF}GV][F7~MO}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[B5L8%[[AF}GV][F7~MO}IM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217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 xml:space="preserve">2、点击左侧的“主体信息”，选择“法人单位基本信息”，如下图。 </w:t>
      </w:r>
    </w:p>
    <w:p>
      <w:pPr>
        <w:rPr>
          <w:rFonts w:hint="eastAsia" w:ascii="宋体" w:hAnsi="宋体"/>
          <w:sz w:val="28"/>
          <w:szCs w:val="28"/>
        </w:rPr>
      </w:pPr>
      <w:r>
        <w:drawing>
          <wp:inline distT="0" distB="0" distL="114300" distR="114300">
            <wp:extent cx="5236845" cy="2035175"/>
            <wp:effectExtent l="0" t="0" r="1905" b="3175"/>
            <wp:docPr id="6" name="图片 6" descr="S}~8{%6)UTUJ~TYZ_G3WG[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S}~8{%6)UTUJ~TYZ_G3WG[I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6845" cy="203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5510"/>
        </w:tabs>
        <w:spacing w:line="360" w:lineRule="auto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3、点击 “修改信息”进行竞买单位身份信息的完善，带（</w:t>
      </w:r>
      <w:r>
        <w:rPr>
          <w:rFonts w:hint="eastAsia" w:ascii="宋体" w:hAnsi="宋体"/>
          <w:color w:val="FF0000"/>
          <w:sz w:val="28"/>
          <w:szCs w:val="28"/>
        </w:rPr>
        <w:t>*</w:t>
      </w:r>
      <w:r>
        <w:rPr>
          <w:rFonts w:hint="eastAsia" w:ascii="宋体" w:hAnsi="宋体"/>
          <w:sz w:val="28"/>
          <w:szCs w:val="28"/>
        </w:rPr>
        <w:t>）的为</w:t>
      </w:r>
      <w:r>
        <w:rPr>
          <w:rFonts w:hint="eastAsia" w:ascii="宋体" w:hAnsi="宋体"/>
          <w:color w:val="FF0000"/>
          <w:sz w:val="28"/>
          <w:szCs w:val="28"/>
        </w:rPr>
        <w:t>必填项目</w:t>
      </w:r>
      <w:r>
        <w:rPr>
          <w:rFonts w:hint="eastAsia" w:ascii="宋体" w:hAnsi="宋体"/>
          <w:sz w:val="28"/>
          <w:szCs w:val="28"/>
        </w:rPr>
        <w:t>。点击“上传”，上传</w:t>
      </w:r>
      <w:r>
        <w:rPr>
          <w:rFonts w:ascii="宋体" w:hAnsi="宋体"/>
          <w:color w:val="000000"/>
          <w:sz w:val="28"/>
          <w:szCs w:val="28"/>
        </w:rPr>
        <w:t>营业执照（三证合一</w:t>
      </w:r>
      <w:r>
        <w:rPr>
          <w:rFonts w:hint="eastAsia" w:ascii="宋体" w:hAnsi="宋体"/>
          <w:color w:val="000000"/>
          <w:sz w:val="28"/>
          <w:szCs w:val="28"/>
        </w:rPr>
        <w:t>）。</w:t>
      </w:r>
    </w:p>
    <w:p>
      <w:pPr>
        <w:spacing w:line="360" w:lineRule="auto"/>
        <w:rPr>
          <w:rFonts w:hint="eastAsia"/>
        </w:rPr>
      </w:pPr>
      <w:r>
        <w:drawing>
          <wp:inline distT="0" distB="0" distL="114300" distR="114300">
            <wp:extent cx="5245100" cy="2063115"/>
            <wp:effectExtent l="0" t="0" r="12700" b="13335"/>
            <wp:docPr id="7" name="图片 7" descr="C)H9`19$G5QZ5(DZ(KJMC]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)H9`19$G5QZ5(DZ(KJMC]Y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45100" cy="206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5510"/>
        </w:tabs>
        <w:spacing w:line="360" w:lineRule="auto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4、修改完成后点击“送下一步”，提交审核，审核通过后信息修改成功。</w:t>
      </w:r>
    </w:p>
    <w:p>
      <w:pPr>
        <w:spacing w:line="360" w:lineRule="auto"/>
        <w:rPr>
          <w:rFonts w:hint="eastAsia"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inline distT="0" distB="0" distL="114300" distR="114300">
            <wp:extent cx="5238750" cy="1958340"/>
            <wp:effectExtent l="0" t="0" r="0" b="3810"/>
            <wp:docPr id="8" name="图片 8" descr="EDS85A_AOFKO[K75O~4PY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EDS85A_AOFKO[K75O~4PYG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eastAsia="zh-CN"/>
        </w:rPr>
      </w:pPr>
      <w:bookmarkStart w:id="5" w:name="_Toc23163284"/>
      <w:r>
        <w:rPr>
          <w:rFonts w:hint="eastAsia"/>
          <w:lang w:eastAsia="zh-CN"/>
        </w:rPr>
        <w:t>办理项目受理</w:t>
      </w:r>
      <w:bookmarkEnd w:id="5"/>
    </w:p>
    <w:p>
      <w:pPr>
        <w:pStyle w:val="3"/>
        <w:rPr>
          <w:rFonts w:hint="eastAsia"/>
        </w:rPr>
      </w:pPr>
      <w:bookmarkStart w:id="6" w:name="_Toc21596561"/>
      <w:bookmarkStart w:id="7" w:name="_Toc23163285"/>
      <w:r>
        <w:rPr>
          <w:rFonts w:hint="eastAsia"/>
        </w:rPr>
        <w:t>登录公共资源</w:t>
      </w:r>
      <w:bookmarkEnd w:id="6"/>
      <w:r>
        <w:rPr>
          <w:rFonts w:hint="eastAsia"/>
          <w:lang w:eastAsia="zh-CN"/>
        </w:rPr>
        <w:t>云平台</w:t>
      </w:r>
      <w:bookmarkEnd w:id="7"/>
    </w:p>
    <w:p>
      <w:pPr>
        <w:spacing w:line="360" w:lineRule="auto"/>
        <w:ind w:firstLine="576" w:firstLineChars="200"/>
        <w:jc w:val="left"/>
        <w:rPr>
          <w:rFonts w:hint="eastAsia" w:ascii="宋体" w:hAnsi="宋体"/>
          <w:spacing w:val="4"/>
          <w:sz w:val="28"/>
          <w:szCs w:val="28"/>
        </w:rPr>
      </w:pPr>
      <w:r>
        <w:rPr>
          <w:rFonts w:hint="eastAsia" w:ascii="宋体" w:hAnsi="宋体"/>
          <w:spacing w:val="4"/>
          <w:sz w:val="28"/>
          <w:szCs w:val="28"/>
        </w:rPr>
        <w:t>1、委托方登录南京市公共资源交易中心网站（</w:t>
      </w:r>
      <w:r>
        <w:rPr>
          <w:rFonts w:ascii="宋体" w:hAnsi="宋体"/>
          <w:spacing w:val="4"/>
          <w:sz w:val="28"/>
          <w:szCs w:val="28"/>
        </w:rPr>
        <w:t>njggzy.nanjing.gov.cn</w:t>
      </w:r>
      <w:r>
        <w:rPr>
          <w:rFonts w:hint="eastAsia" w:ascii="宋体" w:hAnsi="宋体"/>
          <w:spacing w:val="4"/>
          <w:sz w:val="28"/>
          <w:szCs w:val="28"/>
        </w:rPr>
        <w:t>）点击“登录”，如下图：</w:t>
      </w:r>
    </w:p>
    <w:p>
      <w:pPr>
        <w:spacing w:line="360" w:lineRule="auto"/>
        <w:jc w:val="center"/>
        <w:rPr>
          <w:rFonts w:hint="eastAsia"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inline distT="0" distB="0" distL="114300" distR="114300">
            <wp:extent cx="5249545" cy="2813685"/>
            <wp:effectExtent l="0" t="0" r="8255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49545" cy="281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 xml:space="preserve">   2、输入账号密码，点击“登录”按钮，进入公共资源云平台</w:t>
      </w:r>
      <w:r>
        <w:rPr>
          <w:rFonts w:hint="eastAsia" w:ascii="宋体" w:hAnsi="宋体"/>
          <w:b/>
          <w:sz w:val="28"/>
          <w:szCs w:val="28"/>
        </w:rPr>
        <w:t>（</w:t>
      </w:r>
      <w:r>
        <w:rPr>
          <w:rFonts w:hint="eastAsia" w:ascii="宋体" w:hAnsi="宋体"/>
          <w:b/>
          <w:color w:val="FF0000"/>
          <w:sz w:val="28"/>
          <w:szCs w:val="28"/>
        </w:rPr>
        <w:t>已有ca锁的用户无需注册，选择ca登录，并增加身份类型“出让人”</w:t>
      </w:r>
      <w:r>
        <w:rPr>
          <w:rFonts w:hint="eastAsia" w:ascii="宋体" w:hAnsi="宋体"/>
          <w:b/>
          <w:sz w:val="28"/>
          <w:szCs w:val="28"/>
        </w:rPr>
        <w:t>）。</w: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inline distT="0" distB="0" distL="114300" distR="114300">
            <wp:extent cx="5281295" cy="2680970"/>
            <wp:effectExtent l="0" t="0" r="14605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rcRect t="5911" b="18379"/>
                    <a:stretch>
                      <a:fillRect/>
                    </a:stretch>
                  </pic:blipFill>
                  <pic:spPr>
                    <a:xfrm>
                      <a:off x="0" y="0"/>
                      <a:ext cx="5281295" cy="268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eastAsia"/>
        </w:rPr>
      </w:pPr>
      <w:bookmarkStart w:id="8" w:name="_Toc23163286"/>
      <w:r>
        <w:rPr>
          <w:rFonts w:hint="eastAsia"/>
        </w:rPr>
        <w:t>办理项目受理</w:t>
      </w:r>
      <w:bookmarkEnd w:id="8"/>
    </w:p>
    <w:p>
      <w:pPr>
        <w:tabs>
          <w:tab w:val="left" w:pos="426"/>
        </w:tabs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1、登陆系统后，点击业务受理菜单，根据新增项目的类别选择“国有产权”或“特许经营权”点击“新增项目”按钮进行项目新增。</w:t>
      </w:r>
    </w:p>
    <w:p>
      <w:pPr>
        <w:tabs>
          <w:tab w:val="left" w:pos="426"/>
        </w:tabs>
        <w:ind w:firstLine="435"/>
        <w:rPr>
          <w:rFonts w:hint="eastAsia"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inline distT="0" distB="0" distL="114300" distR="114300">
            <wp:extent cx="5249545" cy="2399665"/>
            <wp:effectExtent l="0" t="0" r="8255" b="6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49545" cy="239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6"/>
        </w:tabs>
        <w:ind w:firstLine="435"/>
        <w:rPr>
          <w:rFonts w:hint="eastAsia" w:ascii="宋体" w:hAnsi="宋体"/>
          <w:color w:val="FF0000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2、填写要申报项目的信息，勾选项目类别，</w:t>
      </w:r>
      <w:r>
        <w:rPr>
          <w:rFonts w:hint="eastAsia" w:ascii="宋体" w:hAnsi="宋体"/>
          <w:color w:val="FF0000"/>
          <w:sz w:val="28"/>
          <w:szCs w:val="28"/>
        </w:rPr>
        <w:t>如交易方式选择拍卖，须在“是否选择拍卖机构”后面勾选“是”，</w:t>
      </w:r>
      <w:r>
        <w:rPr>
          <w:rFonts w:hint="eastAsia" w:ascii="宋体" w:hAnsi="宋体"/>
          <w:color w:val="FF0000"/>
          <w:sz w:val="28"/>
          <w:szCs w:val="28"/>
          <w:lang w:val="en-US" w:eastAsia="zh-CN"/>
        </w:rPr>
        <w:t>并在列表中挑选已签约的拍卖机构。</w:t>
      </w:r>
      <w:r>
        <w:rPr>
          <w:rFonts w:hint="eastAsia" w:ascii="宋体" w:hAnsi="宋体"/>
          <w:color w:val="FF0000"/>
          <w:sz w:val="28"/>
          <w:szCs w:val="28"/>
        </w:rPr>
        <w:t>非拍卖交易方式勾选“否”。</w:t>
      </w:r>
    </w:p>
    <w:p>
      <w:pPr>
        <w:tabs>
          <w:tab w:val="left" w:pos="426"/>
        </w:tabs>
        <w:ind w:firstLine="435"/>
        <w:rPr>
          <w:rFonts w:hint="eastAsia" w:ascii="宋体" w:hAnsi="宋体"/>
          <w:b/>
          <w:bCs/>
          <w:color w:val="FF0000"/>
          <w:sz w:val="28"/>
          <w:szCs w:val="28"/>
          <w:highlight w:val="none"/>
          <w:lang w:eastAsia="zh-CN"/>
        </w:rPr>
      </w:pPr>
      <w:r>
        <w:rPr>
          <w:rFonts w:hint="eastAsia" w:ascii="宋体" w:hAnsi="宋体"/>
          <w:b/>
          <w:bCs/>
          <w:color w:val="FF0000"/>
          <w:sz w:val="28"/>
          <w:szCs w:val="28"/>
          <w:highlight w:val="none"/>
          <w:lang w:eastAsia="zh-CN"/>
        </w:rPr>
        <w:t>国有产权出租项目根据辖区要求选择“国有企业房产出租登记”或“国有企业房产出租登记（仅发布信息）”。</w:t>
      </w:r>
    </w:p>
    <w:p>
      <w:pPr>
        <w:tabs>
          <w:tab w:val="left" w:pos="426"/>
        </w:tabs>
        <w:ind w:firstLine="435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点击“新增标的”新增项目标的信息。点击“上传”上传项目附件。</w:t>
      </w:r>
    </w:p>
    <w:p>
      <w:pPr>
        <w:tabs>
          <w:tab w:val="left" w:pos="426"/>
        </w:tabs>
        <w:ind w:firstLine="435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drawing>
          <wp:inline distT="0" distB="0" distL="114300" distR="114300">
            <wp:extent cx="5238750" cy="2353310"/>
            <wp:effectExtent l="0" t="0" r="0" b="889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5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0"/>
        </w:tabs>
        <w:ind w:firstLine="280" w:firstLineChars="100"/>
        <w:jc w:val="left"/>
        <w:rPr>
          <w:rFonts w:hint="default" w:ascii="宋体" w:hAnsi="宋体" w:eastAsia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</w:rPr>
        <w:t>3、填写完信息，并且上传相关附件后，完成受理项目提交。</w:t>
      </w:r>
      <w:r>
        <w:rPr>
          <w:rFonts w:hint="eastAsia" w:ascii="宋体" w:hAnsi="宋体"/>
          <w:color w:val="FF0000"/>
          <w:sz w:val="28"/>
          <w:szCs w:val="28"/>
          <w:lang w:val="en-US" w:eastAsia="zh-CN"/>
        </w:rPr>
        <w:t>提交后系统自动审核通过。委托方可查看项目受理情况。</w:t>
      </w:r>
    </w:p>
    <w:p>
      <w:pPr>
        <w:tabs>
          <w:tab w:val="left" w:pos="426"/>
        </w:tabs>
        <w:ind w:firstLine="435"/>
        <w:rPr>
          <w:rFonts w:hint="eastAsia"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inline distT="0" distB="0" distL="114300" distR="114300">
            <wp:extent cx="5242560" cy="2404745"/>
            <wp:effectExtent l="0" t="0" r="15240" b="146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240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</w:rPr>
      </w:pPr>
      <w:bookmarkStart w:id="9" w:name="_Toc23163288"/>
      <w:r>
        <w:rPr>
          <w:rFonts w:hint="eastAsia"/>
        </w:rPr>
        <w:t>发布挂牌信息公告</w:t>
      </w:r>
      <w:bookmarkEnd w:id="9"/>
    </w:p>
    <w:p>
      <w:pPr>
        <w:pStyle w:val="3"/>
        <w:rPr>
          <w:rFonts w:hint="eastAsia"/>
        </w:rPr>
      </w:pPr>
      <w:bookmarkStart w:id="10" w:name="_Toc23163289"/>
      <w:r>
        <w:rPr>
          <w:rFonts w:hint="eastAsia"/>
        </w:rPr>
        <w:t>登录产权业务管理系统</w:t>
      </w:r>
      <w:bookmarkEnd w:id="10"/>
    </w:p>
    <w:p>
      <w:pPr>
        <w:numPr>
          <w:ilvl w:val="0"/>
          <w:numId w:val="3"/>
        </w:numPr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项目受理在公共资源审核通过后</w:t>
      </w:r>
      <w:r>
        <w:rPr>
          <w:rFonts w:hint="eastAsia" w:ascii="宋体" w:hAnsi="宋体"/>
          <w:color w:val="FF0000"/>
          <w:sz w:val="28"/>
          <w:szCs w:val="28"/>
        </w:rPr>
        <w:t>（采取拍卖交易方式的须</w:t>
      </w:r>
      <w:r>
        <w:rPr>
          <w:rFonts w:hint="eastAsia" w:ascii="宋体" w:hAnsi="宋体"/>
          <w:color w:val="FF0000"/>
          <w:sz w:val="28"/>
          <w:szCs w:val="28"/>
          <w:lang w:val="en-US" w:eastAsia="zh-CN"/>
        </w:rPr>
        <w:t>选</w:t>
      </w:r>
      <w:r>
        <w:rPr>
          <w:rFonts w:hint="eastAsia" w:ascii="宋体" w:hAnsi="宋体"/>
          <w:color w:val="FF0000"/>
          <w:sz w:val="28"/>
          <w:szCs w:val="28"/>
        </w:rPr>
        <w:t>取拍卖机构后）</w:t>
      </w:r>
      <w:r>
        <w:rPr>
          <w:rFonts w:hint="eastAsia" w:ascii="宋体" w:hAnsi="宋体"/>
          <w:sz w:val="28"/>
          <w:szCs w:val="28"/>
        </w:rPr>
        <w:t>，选择“交易系统登录”，如下图。</w:t>
      </w:r>
    </w:p>
    <w:p>
      <w:pPr>
        <w:numPr>
          <w:ilvl w:val="0"/>
          <w:numId w:val="0"/>
        </w:numPr>
        <w:rPr>
          <w:rFonts w:hint="eastAsia" w:ascii="宋体" w:hAnsi="宋体" w:eastAsia="宋体"/>
          <w:sz w:val="28"/>
          <w:szCs w:val="28"/>
          <w:lang w:val="en-US" w:eastAsia="zh-CN"/>
        </w:rPr>
      </w:pPr>
    </w:p>
    <w:p>
      <w:pPr>
        <w:rPr>
          <w:rFonts w:hint="eastAsia"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inline distT="0" distB="0" distL="114300" distR="114300">
            <wp:extent cx="5248910" cy="2971165"/>
            <wp:effectExtent l="0" t="0" r="8890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97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2、选择“国有产权”，输入公共资源云平台的账号密码，登录业务系统。</w: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drawing>
          <wp:inline distT="0" distB="0" distL="114300" distR="114300">
            <wp:extent cx="5243195" cy="2658110"/>
            <wp:effectExtent l="0" t="0" r="14605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265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drawing>
          <wp:inline distT="0" distB="0" distL="114300" distR="114300">
            <wp:extent cx="5244465" cy="2253615"/>
            <wp:effectExtent l="0" t="0" r="13335" b="133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rcRect t="10187" b="27960"/>
                    <a:stretch>
                      <a:fillRect/>
                    </a:stretch>
                  </pic:blipFill>
                  <pic:spPr>
                    <a:xfrm>
                      <a:off x="0" y="0"/>
                      <a:ext cx="5244465" cy="225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3、选择“转让（出租）单位”进入业务系统菜单页面</w: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drawing>
          <wp:inline distT="0" distB="0" distL="114300" distR="114300">
            <wp:extent cx="5249545" cy="2408555"/>
            <wp:effectExtent l="0" t="0" r="8255" b="1079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rcRect b="7213"/>
                    <a:stretch>
                      <a:fillRect/>
                    </a:stretch>
                  </pic:blipFill>
                  <pic:spPr>
                    <a:xfrm>
                      <a:off x="0" y="0"/>
                      <a:ext cx="5249545" cy="240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宋体" w:hAnsi="宋体"/>
          <w:color w:val="FF0000"/>
          <w:sz w:val="28"/>
          <w:szCs w:val="28"/>
          <w:highlight w:val="none"/>
        </w:rPr>
      </w:pPr>
      <w:r>
        <w:rPr>
          <w:rFonts w:hint="eastAsia" w:ascii="宋体" w:hAnsi="宋体"/>
          <w:color w:val="FF0000"/>
          <w:sz w:val="28"/>
          <w:szCs w:val="28"/>
          <w:highlight w:val="none"/>
          <w:lang w:val="en-US" w:eastAsia="zh-CN"/>
        </w:rPr>
        <w:t>4、</w:t>
      </w:r>
      <w:r>
        <w:rPr>
          <w:rFonts w:hint="eastAsia" w:ascii="宋体" w:hAnsi="宋体"/>
          <w:color w:val="FF0000"/>
          <w:sz w:val="28"/>
          <w:szCs w:val="28"/>
          <w:highlight w:val="none"/>
        </w:rPr>
        <w:t>如未找到该项目，</w:t>
      </w:r>
      <w:r>
        <w:rPr>
          <w:rFonts w:hint="eastAsia" w:ascii="宋体" w:hAnsi="宋体"/>
          <w:color w:val="FF0000"/>
          <w:sz w:val="28"/>
          <w:szCs w:val="28"/>
          <w:highlight w:val="none"/>
          <w:lang w:eastAsia="zh-CN"/>
        </w:rPr>
        <w:t>排查</w:t>
      </w:r>
      <w:r>
        <w:rPr>
          <w:rFonts w:hint="eastAsia" w:ascii="宋体" w:hAnsi="宋体"/>
          <w:color w:val="FF0000"/>
          <w:sz w:val="28"/>
          <w:szCs w:val="28"/>
          <w:highlight w:val="none"/>
        </w:rPr>
        <w:t>步骤：</w:t>
      </w:r>
      <w:r>
        <w:rPr>
          <w:rFonts w:hint="eastAsia" w:ascii="宋体" w:hAnsi="宋体"/>
          <w:color w:val="FF0000"/>
          <w:sz w:val="28"/>
          <w:szCs w:val="28"/>
          <w:highlight w:val="none"/>
        </w:rPr>
        <w:br w:type="textWrapping"/>
      </w:r>
      <w:r>
        <w:rPr>
          <w:rFonts w:hint="eastAsia" w:ascii="宋体" w:hAnsi="宋体"/>
          <w:color w:val="FF0000"/>
          <w:sz w:val="28"/>
          <w:szCs w:val="28"/>
          <w:highlight w:val="none"/>
          <w:lang w:eastAsia="zh-CN"/>
        </w:rPr>
        <w:t>（</w:t>
      </w:r>
      <w:r>
        <w:rPr>
          <w:rFonts w:hint="eastAsia" w:ascii="宋体" w:hAnsi="宋体"/>
          <w:color w:val="FF0000"/>
          <w:sz w:val="28"/>
          <w:szCs w:val="28"/>
          <w:highlight w:val="none"/>
          <w:lang w:val="en-US" w:eastAsia="zh-CN"/>
        </w:rPr>
        <w:t>1</w:t>
      </w:r>
      <w:r>
        <w:rPr>
          <w:rFonts w:hint="eastAsia" w:ascii="宋体" w:hAnsi="宋体"/>
          <w:color w:val="FF0000"/>
          <w:sz w:val="28"/>
          <w:szCs w:val="28"/>
          <w:highlight w:val="none"/>
          <w:lang w:eastAsia="zh-CN"/>
        </w:rPr>
        <w:t>）</w:t>
      </w:r>
      <w:r>
        <w:rPr>
          <w:rFonts w:hint="eastAsia" w:ascii="宋体" w:hAnsi="宋体"/>
          <w:color w:val="FF0000"/>
          <w:sz w:val="28"/>
          <w:szCs w:val="28"/>
          <w:highlight w:val="none"/>
        </w:rPr>
        <w:t>确认项目中的转让方是否同步过单位信息，如果没有就去产权系统登录页面手动同步。</w:t>
      </w:r>
      <w:r>
        <w:rPr>
          <w:rFonts w:hint="eastAsia" w:ascii="宋体" w:hAnsi="宋体"/>
          <w:color w:val="FF0000"/>
          <w:sz w:val="28"/>
          <w:szCs w:val="28"/>
          <w:highlight w:val="none"/>
        </w:rPr>
        <w:br w:type="textWrapping"/>
      </w:r>
      <w:r>
        <w:rPr>
          <w:rFonts w:hint="eastAsia" w:ascii="宋体" w:hAnsi="宋体"/>
          <w:color w:val="FF0000"/>
          <w:sz w:val="28"/>
          <w:szCs w:val="28"/>
          <w:highlight w:val="none"/>
          <w:lang w:eastAsia="zh-CN"/>
        </w:rPr>
        <w:t>（</w:t>
      </w:r>
      <w:r>
        <w:rPr>
          <w:rFonts w:hint="eastAsia" w:ascii="宋体" w:hAnsi="宋体"/>
          <w:color w:val="FF0000"/>
          <w:sz w:val="28"/>
          <w:szCs w:val="28"/>
          <w:highlight w:val="none"/>
          <w:lang w:val="en-US" w:eastAsia="zh-CN"/>
        </w:rPr>
        <w:t>2</w:t>
      </w:r>
      <w:r>
        <w:rPr>
          <w:rFonts w:hint="eastAsia" w:ascii="宋体" w:hAnsi="宋体"/>
          <w:color w:val="FF0000"/>
          <w:sz w:val="28"/>
          <w:szCs w:val="28"/>
          <w:highlight w:val="none"/>
          <w:lang w:eastAsia="zh-CN"/>
        </w:rPr>
        <w:t>）</w:t>
      </w:r>
      <w:r>
        <w:rPr>
          <w:rFonts w:hint="eastAsia" w:ascii="宋体" w:hAnsi="宋体"/>
          <w:color w:val="FF0000"/>
          <w:sz w:val="28"/>
          <w:szCs w:val="28"/>
          <w:highlight w:val="none"/>
        </w:rPr>
        <w:t>确认项目中的拍卖代理是否同步过单位信息，如果没有就去产权系统登录页面手动同步。</w:t>
      </w:r>
    </w:p>
    <w:p>
      <w:pPr>
        <w:numPr>
          <w:ilvl w:val="0"/>
          <w:numId w:val="0"/>
        </w:numPr>
        <w:ind w:leftChars="0"/>
        <w:rPr>
          <w:rFonts w:hint="eastAsia" w:ascii="宋体" w:hAnsi="宋体"/>
          <w:color w:val="FF0000"/>
          <w:sz w:val="28"/>
          <w:szCs w:val="28"/>
          <w:highlight w:val="yellow"/>
          <w:lang w:eastAsia="zh-CN"/>
        </w:rPr>
      </w:pPr>
      <w:r>
        <w:drawing>
          <wp:inline distT="0" distB="0" distL="114300" distR="114300">
            <wp:extent cx="5272405" cy="2399030"/>
            <wp:effectExtent l="0" t="0" r="4445" b="1270"/>
            <wp:docPr id="1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9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方正仿宋_GBK" w:hAnsi="方正仿宋_GBK" w:eastAsia="方正仿宋_GBK" w:cs="方正仿宋_GBK"/>
          <w:sz w:val="32"/>
          <w:szCs w:val="32"/>
        </w:rPr>
        <w:br w:type="textWrapping"/>
      </w:r>
      <w:r>
        <w:rPr>
          <w:rFonts w:hint="eastAsia" w:ascii="宋体" w:hAnsi="宋体" w:eastAsia="方正仿宋_GBK"/>
          <w:color w:val="FF0000"/>
          <w:sz w:val="28"/>
          <w:szCs w:val="28"/>
          <w:highlight w:val="none"/>
          <w:lang w:eastAsia="zh-CN"/>
        </w:rPr>
        <w:t>（</w:t>
      </w:r>
      <w:r>
        <w:rPr>
          <w:rFonts w:hint="eastAsia" w:ascii="宋体" w:hAnsi="宋体" w:eastAsia="方正仿宋_GBK"/>
          <w:color w:val="FF0000"/>
          <w:sz w:val="28"/>
          <w:szCs w:val="28"/>
          <w:highlight w:val="none"/>
          <w:lang w:val="en-US" w:eastAsia="zh-CN"/>
        </w:rPr>
        <w:t>3</w:t>
      </w:r>
      <w:r>
        <w:rPr>
          <w:rFonts w:hint="eastAsia" w:ascii="宋体" w:hAnsi="宋体" w:eastAsia="方正仿宋_GBK"/>
          <w:color w:val="FF0000"/>
          <w:sz w:val="28"/>
          <w:szCs w:val="28"/>
          <w:highlight w:val="none"/>
          <w:lang w:eastAsia="zh-CN"/>
        </w:rPr>
        <w:t>）</w:t>
      </w:r>
      <w:r>
        <w:rPr>
          <w:rFonts w:hint="eastAsia" w:ascii="宋体" w:hAnsi="宋体"/>
          <w:color w:val="FF0000"/>
          <w:sz w:val="28"/>
          <w:szCs w:val="28"/>
          <w:highlight w:val="none"/>
          <w:lang w:eastAsia="zh-CN"/>
        </w:rPr>
        <w:t>按照以上步骤完成同步仍未找到项目，联系辖区经办人</w:t>
      </w:r>
      <w:r>
        <w:rPr>
          <w:rFonts w:hint="eastAsia" w:ascii="宋体" w:hAnsi="宋体"/>
          <w:color w:val="FF0000"/>
          <w:sz w:val="28"/>
          <w:szCs w:val="28"/>
          <w:highlight w:val="none"/>
          <w:lang w:val="en-US" w:eastAsia="zh-CN"/>
        </w:rPr>
        <w:t>处理</w:t>
      </w:r>
      <w:r>
        <w:rPr>
          <w:rFonts w:hint="eastAsia" w:ascii="宋体" w:hAnsi="宋体"/>
          <w:color w:val="FF0000"/>
          <w:sz w:val="28"/>
          <w:szCs w:val="28"/>
          <w:highlight w:val="none"/>
        </w:rPr>
        <w:t>。</w:t>
      </w:r>
    </w:p>
    <w:p>
      <w:pPr>
        <w:rPr>
          <w:rFonts w:hint="eastAsia" w:ascii="宋体" w:hAnsi="宋体" w:eastAsia="宋体"/>
          <w:sz w:val="28"/>
          <w:szCs w:val="28"/>
          <w:lang w:val="en-US" w:eastAsia="zh-CN"/>
        </w:rPr>
      </w:pPr>
    </w:p>
    <w:p>
      <w:pPr>
        <w:pStyle w:val="3"/>
        <w:rPr>
          <w:rFonts w:hint="eastAsia"/>
        </w:rPr>
      </w:pPr>
      <w:bookmarkStart w:id="11" w:name="_Toc23163290"/>
      <w:r>
        <w:rPr>
          <w:rFonts w:hint="eastAsia"/>
        </w:rPr>
        <w:t>完善挂牌信息</w:t>
      </w:r>
      <w:bookmarkEnd w:id="11"/>
    </w:p>
    <w:p>
      <w:pPr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1、点击项目受理，选择项目点击操作填写挂牌信息公告详细信息。</w: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inline distT="0" distB="0" distL="114300" distR="114300">
            <wp:extent cx="5486400" cy="2158365"/>
            <wp:effectExtent l="0" t="0" r="0" b="13335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15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inline distT="0" distB="0" distL="114300" distR="114300">
            <wp:extent cx="5486400" cy="2261235"/>
            <wp:effectExtent l="0" t="0" r="0" b="5715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26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ascii="宋体" w:hAnsi="宋体"/>
          <w:color w:val="FF0000"/>
          <w:sz w:val="28"/>
          <w:szCs w:val="28"/>
        </w:rPr>
      </w:pPr>
      <w:r>
        <w:rPr>
          <w:rFonts w:hint="eastAsia" w:ascii="宋体" w:hAnsi="宋体"/>
          <w:color w:val="FF0000"/>
          <w:sz w:val="28"/>
          <w:szCs w:val="28"/>
        </w:rPr>
        <w:t>注：注意填写标的信息以及转让方信息。</w: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inline distT="0" distB="0" distL="114300" distR="114300">
            <wp:extent cx="5480685" cy="2261870"/>
            <wp:effectExtent l="0" t="0" r="5715" b="5080"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80685" cy="226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2、自动获取电子营业执照信息。点击“电子件管理”，选择“公共资源获取”自动获取电子营业执照，如获取失败，须点击“业务系统上传”自行上传营业执照。</w: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inline distT="0" distB="0" distL="114300" distR="114300">
            <wp:extent cx="5230495" cy="2155190"/>
            <wp:effectExtent l="0" t="0" r="8255" b="16510"/>
            <wp:docPr id="22" name="图片 21" descr="1BK%8YQO6_NRC}1_]1E}(6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 descr="1BK%8YQO6_NRC}1_]1E}(6K"/>
                    <pic:cNvPicPr>
                      <a:picLocks noChangeAspect="1"/>
                    </pic:cNvPicPr>
                  </pic:nvPicPr>
                  <pic:blipFill>
                    <a:blip r:embed="rId27"/>
                    <a:srcRect b="12901"/>
                    <a:stretch>
                      <a:fillRect/>
                    </a:stretch>
                  </pic:blipFill>
                  <pic:spPr>
                    <a:xfrm>
                      <a:off x="0" y="0"/>
                      <a:ext cx="5230495" cy="215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drawing>
          <wp:inline distT="0" distB="0" distL="114300" distR="114300">
            <wp:extent cx="5239385" cy="2152015"/>
            <wp:effectExtent l="0" t="0" r="18415" b="635"/>
            <wp:docPr id="2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/>
                    <pic:cNvPicPr>
                      <a:picLocks noChangeAspect="1"/>
                    </pic:cNvPicPr>
                  </pic:nvPicPr>
                  <pic:blipFill>
                    <a:blip r:embed="rId28"/>
                    <a:srcRect b="8121"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215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80" w:firstLineChars="1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3、上传其他须补充的附件材料。根据项目具体情况，上传需要补充的材料。</w:t>
      </w:r>
    </w:p>
    <w:p>
      <w:pPr>
        <w:rPr>
          <w:rFonts w:hint="eastAsia" w:ascii="宋体" w:hAnsi="宋体"/>
          <w:color w:val="FF0000"/>
          <w:sz w:val="28"/>
          <w:szCs w:val="28"/>
        </w:rPr>
      </w:pPr>
      <w:r>
        <w:rPr>
          <w:rFonts w:hint="eastAsia" w:ascii="宋体" w:hAnsi="宋体"/>
          <w:color w:val="FF0000"/>
          <w:sz w:val="28"/>
          <w:szCs w:val="28"/>
        </w:rPr>
        <w:drawing>
          <wp:inline distT="0" distB="0" distL="114300" distR="114300">
            <wp:extent cx="5233670" cy="2336165"/>
            <wp:effectExtent l="0" t="0" r="5080" b="6985"/>
            <wp:docPr id="2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33670" cy="233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eastAsia"/>
        </w:rPr>
      </w:pPr>
      <w:bookmarkStart w:id="12" w:name="_Toc23163291"/>
      <w:r>
        <w:rPr>
          <w:rFonts w:hint="eastAsia"/>
        </w:rPr>
        <w:t>确认挂牌信息</w:t>
      </w:r>
      <w:bookmarkEnd w:id="12"/>
    </w:p>
    <w:p>
      <w:pPr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挂牌信息审核通过后，盖章确认挂牌信息。点击生成公告信息表生成公告信息，若有电子签章，则直接进行电子签章；若没有，打印后盖章扫描上传。经审核通过后即在南京市公共资源交易中心网站发布挂牌信息公告。</w: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inline distT="0" distB="0" distL="114300" distR="114300">
            <wp:extent cx="5490845" cy="2225040"/>
            <wp:effectExtent l="0" t="0" r="14605" b="3810"/>
            <wp:docPr id="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90845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</w:rPr>
      </w:pPr>
      <w:bookmarkStart w:id="13" w:name="_Toc23163292"/>
      <w:r>
        <w:rPr>
          <w:rFonts w:hint="eastAsia"/>
        </w:rPr>
        <w:t>资格审核及其他流程</w:t>
      </w:r>
      <w:bookmarkEnd w:id="13"/>
    </w:p>
    <w:p>
      <w:pPr>
        <w:pStyle w:val="3"/>
        <w:rPr>
          <w:rFonts w:hint="eastAsia"/>
        </w:rPr>
      </w:pPr>
      <w:bookmarkStart w:id="14" w:name="_Toc23163293"/>
      <w:r>
        <w:rPr>
          <w:rFonts w:hint="eastAsia"/>
        </w:rPr>
        <w:t>委托方报名资格审核</w:t>
      </w:r>
      <w:bookmarkEnd w:id="14"/>
    </w:p>
    <w:p>
      <w:pPr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1、选择资格审查模块，选择需要资格审查的项目，点击对报名单位进行资格审查。</w: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inline distT="0" distB="0" distL="114300" distR="114300">
            <wp:extent cx="5490845" cy="2085975"/>
            <wp:effectExtent l="0" t="0" r="14605" b="9525"/>
            <wp:docPr id="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9084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2、进入界面后，点击报名单位查看单位信息</w: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drawing>
          <wp:inline distT="0" distB="0" distL="114300" distR="114300">
            <wp:extent cx="5248910" cy="2352040"/>
            <wp:effectExtent l="0" t="0" r="8890" b="10160"/>
            <wp:docPr id="2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35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drawing>
          <wp:inline distT="0" distB="0" distL="114300" distR="114300">
            <wp:extent cx="5237480" cy="2329815"/>
            <wp:effectExtent l="0" t="0" r="1270" b="13335"/>
            <wp:docPr id="2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32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3、选择通过或者不通过；若不通过，需填写原因并上传说明不通过原因的函（此函将发送给对应意向单位）。填写完成后上传资格确认书并点击提交。</w: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inline distT="0" distB="0" distL="114300" distR="114300">
            <wp:extent cx="5248910" cy="2504440"/>
            <wp:effectExtent l="0" t="0" r="8890" b="10160"/>
            <wp:docPr id="29" name="图片 28" descr="L68K`AFR61MFBY{(4[64K)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8" descr="L68K`AFR61MFBY{(4[64K)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eastAsia"/>
          <w:lang w:eastAsia="zh-CN"/>
        </w:rPr>
      </w:pPr>
      <w:bookmarkStart w:id="15" w:name="_Toc23163294"/>
      <w:r>
        <w:rPr>
          <w:rFonts w:hint="eastAsia"/>
        </w:rPr>
        <w:t>受让方确认</w:t>
      </w:r>
      <w:bookmarkEnd w:id="15"/>
    </w:p>
    <w:p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1、当只有一家符合条件的委托方</w:t>
      </w:r>
      <w:r>
        <w:rPr>
          <w:rFonts w:hint="eastAsia"/>
          <w:sz w:val="28"/>
          <w:szCs w:val="28"/>
        </w:rPr>
        <w:t>报名时，选择“上传受让方确认函”菜单，选择需要确定受让方的项目后，进入受让方确认页面。</w:t>
      </w:r>
    </w:p>
    <w:p>
      <w:pPr>
        <w:rPr>
          <w:rFonts w:hint="eastAsia"/>
          <w:color w:val="FF0000"/>
          <w:sz w:val="28"/>
          <w:szCs w:val="28"/>
        </w:rPr>
      </w:pPr>
      <w:r>
        <w:drawing>
          <wp:inline distT="0" distB="0" distL="114300" distR="114300">
            <wp:extent cx="5332730" cy="2406015"/>
            <wp:effectExtent l="0" t="0" r="1270" b="13335"/>
            <wp:docPr id="30" name="图片 29" descr="C]4[LYSO(OSGJA39L5%B}5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9" descr="C]4[LYSO(OSGJA39L5%B}5V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332730" cy="240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2、查看“受让方确认函”模板，并</w:t>
      </w:r>
      <w:r>
        <w:rPr>
          <w:rFonts w:hint="eastAsia"/>
          <w:sz w:val="28"/>
          <w:szCs w:val="28"/>
        </w:rPr>
        <w:t>拟定受让方确认函。上传盖章确认的受让方确认函，并提交审核。</w:t>
      </w:r>
    </w:p>
    <w:p>
      <w:pPr>
        <w:rPr>
          <w:rFonts w:hint="eastAsia"/>
          <w:color w:val="FF0000"/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drawing>
          <wp:inline distT="0" distB="0" distL="114300" distR="114300">
            <wp:extent cx="5294630" cy="2313940"/>
            <wp:effectExtent l="0" t="0" r="1270" b="10160"/>
            <wp:docPr id="3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94630" cy="231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eastAsia"/>
        </w:rPr>
      </w:pPr>
      <w:bookmarkStart w:id="16" w:name="_Toc23163295"/>
      <w:r>
        <w:rPr>
          <w:rFonts w:hint="eastAsia"/>
        </w:rPr>
        <w:t>重新挂牌申请</w:t>
      </w:r>
      <w:bookmarkEnd w:id="16"/>
    </w:p>
    <w:p>
      <w:pPr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若该项目需要重新挂牌，则在“重新挂牌申请”选择需要重新挂牌的项目，填写原因后提交由项目负责人审核，审核通过后，在项目受理菜单重新选择二次挂牌项目进行挂牌。</w: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inline distT="0" distB="0" distL="114300" distR="114300">
            <wp:extent cx="5243195" cy="1550670"/>
            <wp:effectExtent l="0" t="0" r="14605" b="11430"/>
            <wp:docPr id="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155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inline distT="0" distB="0" distL="114300" distR="114300">
            <wp:extent cx="5248910" cy="2211070"/>
            <wp:effectExtent l="0" t="0" r="8890" b="17780"/>
            <wp:docPr id="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21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/>
          <w:sz w:val="28"/>
          <w:szCs w:val="28"/>
        </w:rPr>
      </w:pPr>
    </w:p>
    <w:p>
      <w:pPr>
        <w:rPr>
          <w:rFonts w:hint="eastAsia"/>
        </w:rPr>
      </w:pPr>
    </w:p>
    <w:sectPr>
      <w:headerReference r:id="rId3" w:type="default"/>
      <w:footerReference r:id="rId4" w:type="default"/>
      <w:pgSz w:w="11906" w:h="16838"/>
      <w:pgMar w:top="1440" w:right="1841" w:bottom="1440" w:left="1797" w:header="454" w:footer="680" w:gutter="0"/>
      <w:pgNumType w:start="0"/>
      <w:cols w:space="720" w:num="1"/>
      <w:titlePg/>
      <w:docGrid w:type="lines" w:linePitch="312" w:charSpace="40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方正仿宋_GBK">
    <w:panose1 w:val="03000509000000000000"/>
    <w:charset w:val="86"/>
    <w:family w:val="script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7"/>
      <w:jc w:val="right"/>
    </w:pPr>
    <w:r>
      <w:rPr>
        <w:lang w:val="zh-CN"/>
      </w:rPr>
      <w:t xml:space="preserve"> </w:t>
    </w:r>
    <w:r>
      <w:rPr>
        <w:b/>
        <w:sz w:val="24"/>
        <w:szCs w:val="24"/>
      </w:rPr>
      <w:fldChar w:fldCharType="begin"/>
    </w:r>
    <w:r>
      <w:rPr>
        <w:b/>
      </w:rPr>
      <w:instrText xml:space="preserve">PAGE</w:instrText>
    </w:r>
    <w:r>
      <w:rPr>
        <w:b/>
        <w:sz w:val="24"/>
        <w:szCs w:val="24"/>
      </w:rPr>
      <w:fldChar w:fldCharType="separate"/>
    </w:r>
    <w:r>
      <w:rPr>
        <w:b/>
      </w:rPr>
      <w:t>1</w:t>
    </w:r>
    <w:r>
      <w:rPr>
        <w:b/>
        <w:sz w:val="24"/>
        <w:szCs w:val="24"/>
      </w:rPr>
      <w:fldChar w:fldCharType="end"/>
    </w:r>
    <w:r>
      <w:rPr>
        <w:lang w:val="zh-CN"/>
      </w:rPr>
      <w:t xml:space="preserve"> / </w:t>
    </w:r>
    <w:r>
      <w:rPr>
        <w:rFonts w:hint="eastAsia"/>
        <w:b/>
        <w:lang w:eastAsia="zh-CN"/>
      </w:rPr>
      <w:t>1</w:t>
    </w:r>
    <w:r>
      <w:rPr>
        <w:rFonts w:hint="eastAsia"/>
        <w:b/>
        <w:lang w:val="en-US" w:eastAsia="zh-CN"/>
      </w:rPr>
      <w:t>5</w:t>
    </w:r>
  </w:p>
  <w:p>
    <w:pPr>
      <w:pStyle w:val="17"/>
      <w:pBdr>
        <w:top w:val="single" w:color="9BBB59" w:sz="24" w:space="5"/>
      </w:pBdr>
      <w:jc w:val="right"/>
      <w:rPr>
        <w:i/>
        <w:iCs/>
        <w:color w:val="8C8C8C"/>
        <w:lang w:eastAsia="zh-CN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8"/>
      <w:pBdr>
        <w:bottom w:val="thickThinSmallGap" w:color="622423" w:sz="24" w:space="1"/>
      </w:pBdr>
      <w:ind w:firstLine="1080" w:firstLineChars="600"/>
      <w:jc w:val="both"/>
      <w:rPr>
        <w:rFonts w:ascii="Cambria" w:hAnsi="Cambria"/>
        <w:lang w:eastAsia="zh-CN"/>
      </w:rPr>
    </w:pPr>
    <w:r>
      <w:rPr>
        <w:rFonts w:hint="eastAsia" w:ascii="宋体" w:hAnsi="宋体"/>
      </w:rPr>
      <w:t xml:space="preserve">                   </w:t>
    </w:r>
    <w:r>
      <w:rPr>
        <w:rFonts w:hint="eastAsia"/>
        <w:lang w:eastAsia="zh-CN"/>
      </w:rPr>
      <w:t xml:space="preserve">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1471E8"/>
    <w:multiLevelType w:val="singleLevel"/>
    <w:tmpl w:val="FF1471E8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6A2F4AB3"/>
    <w:multiLevelType w:val="multilevel"/>
    <w:tmpl w:val="6A2F4AB3"/>
    <w:lvl w:ilvl="0" w:tentative="0">
      <w:start w:val="1"/>
      <w:numFmt w:val="chineseCountingThousand"/>
      <w:pStyle w:val="2"/>
      <w:suff w:val="nothing"/>
      <w:lvlText w:val="%1、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pStyle w:val="3"/>
      <w:isLgl/>
      <w:suff w:val="nothing"/>
      <w:lvlText w:val="%1.%2、"/>
      <w:lvlJc w:val="left"/>
      <w:pPr>
        <w:ind w:left="1277" w:hanging="567"/>
      </w:pPr>
    </w:lvl>
    <w:lvl w:ilvl="2" w:tentative="0">
      <w:start w:val="1"/>
      <w:numFmt w:val="decimal"/>
      <w:pStyle w:val="4"/>
      <w:isLgl/>
      <w:suff w:val="nothing"/>
      <w:lvlText w:val="%1.%2.%3、"/>
      <w:lvlJc w:val="left"/>
      <w:pPr>
        <w:ind w:left="1069" w:hanging="1069"/>
      </w:pPr>
    </w:lvl>
    <w:lvl w:ilvl="3" w:tentative="0">
      <w:start w:val="1"/>
      <w:numFmt w:val="decimal"/>
      <w:pStyle w:val="5"/>
      <w:isLgl/>
      <w:suff w:val="nothing"/>
      <w:lvlText w:val="%1.%2.%3.%4、"/>
      <w:lvlJc w:val="left"/>
      <w:pPr>
        <w:ind w:left="851" w:hanging="851"/>
      </w:pPr>
      <w:rPr>
        <w:rFonts w:hint="default" w:ascii="Times New Roman" w:hAnsi="Times New Roman" w:eastAsia="宋体" w:cs="Times New Roman"/>
        <w:sz w:val="24"/>
        <w:szCs w:val="24"/>
      </w:rPr>
    </w:lvl>
    <w:lvl w:ilvl="4" w:tentative="0">
      <w:start w:val="1"/>
      <w:numFmt w:val="decimal"/>
      <w:pStyle w:val="6"/>
      <w:isLgl/>
      <w:suff w:val="nothing"/>
      <w:lvlText w:val="%1.%2.%3.%4.%5、"/>
      <w:lvlJc w:val="left"/>
      <w:pPr>
        <w:ind w:left="992" w:hanging="992"/>
      </w:pPr>
      <w:rPr>
        <w:rFonts w:hint="eastAsia"/>
      </w:rPr>
    </w:lvl>
    <w:lvl w:ilvl="5" w:tentative="0">
      <w:start w:val="1"/>
      <w:numFmt w:val="decimal"/>
      <w:pStyle w:val="7"/>
      <w:isLgl/>
      <w:suff w:val="nothing"/>
      <w:lvlText w:val="%1.%2.%3.%4.%5.%6、"/>
      <w:lvlJc w:val="left"/>
      <w:pPr>
        <w:ind w:left="1134" w:hanging="1134"/>
      </w:pPr>
      <w:rPr>
        <w:rFonts w:hint="default" w:ascii="Times New Roman" w:hAnsi="Times New Roman" w:cs="Times New Roman"/>
      </w:rPr>
    </w:lvl>
    <w:lvl w:ilvl="6" w:tentative="0">
      <w:start w:val="1"/>
      <w:numFmt w:val="decimal"/>
      <w:isLgl/>
      <w:lvlText w:val="%1.%2.%3.%4.%5.%6.%7"/>
      <w:lvlJc w:val="left"/>
      <w:pPr>
        <w:tabs>
          <w:tab w:val="left" w:pos="1800"/>
        </w:tabs>
        <w:ind w:left="1276" w:hanging="1276"/>
      </w:pPr>
      <w:rPr>
        <w:rFonts w:hint="eastAsia"/>
      </w:rPr>
    </w:lvl>
    <w:lvl w:ilvl="7" w:tentative="0">
      <w:start w:val="1"/>
      <w:numFmt w:val="decimal"/>
      <w:isLgl/>
      <w:lvlText w:val="%1.%2.%3.%4.%5.%6.%7.%8"/>
      <w:lvlJc w:val="left"/>
      <w:pPr>
        <w:tabs>
          <w:tab w:val="left" w:pos="1800"/>
        </w:tabs>
        <w:ind w:left="1418" w:hanging="1418"/>
      </w:pPr>
      <w:rPr>
        <w:rFonts w:hint="eastAsia"/>
      </w:rPr>
    </w:lvl>
    <w:lvl w:ilvl="8" w:tentative="0">
      <w:start w:val="1"/>
      <w:numFmt w:val="decimal"/>
      <w:isLgl/>
      <w:lvlText w:val="%1.%2.%3.%4.%5.%6.%7.%8.%9"/>
      <w:lvlJc w:val="left"/>
      <w:pPr>
        <w:tabs>
          <w:tab w:val="left" w:pos="2160"/>
        </w:tabs>
        <w:ind w:left="1559" w:hanging="1559"/>
      </w:pPr>
      <w:rPr>
        <w:rFonts w:hint="eastAsia"/>
      </w:rPr>
    </w:lvl>
  </w:abstractNum>
  <w:num w:numId="1">
    <w:abstractNumId w:val="1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420"/>
  <w:hyphenationZone w:val="36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0CC3"/>
    <w:rsid w:val="00000D6A"/>
    <w:rsid w:val="000066E2"/>
    <w:rsid w:val="00012E7C"/>
    <w:rsid w:val="00022E6D"/>
    <w:rsid w:val="00031E37"/>
    <w:rsid w:val="00035989"/>
    <w:rsid w:val="00036BE9"/>
    <w:rsid w:val="000549D2"/>
    <w:rsid w:val="00057BD2"/>
    <w:rsid w:val="000629CE"/>
    <w:rsid w:val="00062F25"/>
    <w:rsid w:val="00066238"/>
    <w:rsid w:val="00067DC8"/>
    <w:rsid w:val="00072471"/>
    <w:rsid w:val="00073363"/>
    <w:rsid w:val="000733F5"/>
    <w:rsid w:val="000751A4"/>
    <w:rsid w:val="00075A7A"/>
    <w:rsid w:val="0007606A"/>
    <w:rsid w:val="0008317F"/>
    <w:rsid w:val="00085CBF"/>
    <w:rsid w:val="00087B70"/>
    <w:rsid w:val="00090530"/>
    <w:rsid w:val="000A0DDA"/>
    <w:rsid w:val="000A24E1"/>
    <w:rsid w:val="000A4F92"/>
    <w:rsid w:val="000B4DAD"/>
    <w:rsid w:val="000B5E79"/>
    <w:rsid w:val="000B5FE3"/>
    <w:rsid w:val="000B6E2F"/>
    <w:rsid w:val="000C1F3C"/>
    <w:rsid w:val="000C494A"/>
    <w:rsid w:val="000C5E46"/>
    <w:rsid w:val="000D2002"/>
    <w:rsid w:val="000D2503"/>
    <w:rsid w:val="000E01CB"/>
    <w:rsid w:val="000E079E"/>
    <w:rsid w:val="000E21F8"/>
    <w:rsid w:val="000E4A25"/>
    <w:rsid w:val="000F24EE"/>
    <w:rsid w:val="000F3534"/>
    <w:rsid w:val="00100CC3"/>
    <w:rsid w:val="00104B6F"/>
    <w:rsid w:val="00121BE5"/>
    <w:rsid w:val="00124A80"/>
    <w:rsid w:val="00126DA5"/>
    <w:rsid w:val="001335F8"/>
    <w:rsid w:val="00140C7B"/>
    <w:rsid w:val="00145859"/>
    <w:rsid w:val="00147DB4"/>
    <w:rsid w:val="0015055F"/>
    <w:rsid w:val="0017176D"/>
    <w:rsid w:val="001730B5"/>
    <w:rsid w:val="00175C83"/>
    <w:rsid w:val="00176A16"/>
    <w:rsid w:val="00182547"/>
    <w:rsid w:val="00190C6C"/>
    <w:rsid w:val="00192DAB"/>
    <w:rsid w:val="001A1274"/>
    <w:rsid w:val="001A2A60"/>
    <w:rsid w:val="001B357F"/>
    <w:rsid w:val="001B3882"/>
    <w:rsid w:val="001B39D5"/>
    <w:rsid w:val="001B503C"/>
    <w:rsid w:val="001B6634"/>
    <w:rsid w:val="001B75D8"/>
    <w:rsid w:val="001C1D3F"/>
    <w:rsid w:val="001D230F"/>
    <w:rsid w:val="001E157E"/>
    <w:rsid w:val="001E412D"/>
    <w:rsid w:val="001E47A3"/>
    <w:rsid w:val="001F33BE"/>
    <w:rsid w:val="001F484F"/>
    <w:rsid w:val="00201331"/>
    <w:rsid w:val="00205504"/>
    <w:rsid w:val="002060F1"/>
    <w:rsid w:val="00207B61"/>
    <w:rsid w:val="00207C88"/>
    <w:rsid w:val="00210A32"/>
    <w:rsid w:val="00213D60"/>
    <w:rsid w:val="00215B6D"/>
    <w:rsid w:val="00215C66"/>
    <w:rsid w:val="00224E26"/>
    <w:rsid w:val="002326AB"/>
    <w:rsid w:val="00236251"/>
    <w:rsid w:val="002458BB"/>
    <w:rsid w:val="00245CF9"/>
    <w:rsid w:val="0025408A"/>
    <w:rsid w:val="002546A6"/>
    <w:rsid w:val="00257026"/>
    <w:rsid w:val="00260196"/>
    <w:rsid w:val="00266588"/>
    <w:rsid w:val="00272577"/>
    <w:rsid w:val="0028328D"/>
    <w:rsid w:val="00291511"/>
    <w:rsid w:val="00292DDF"/>
    <w:rsid w:val="0029420C"/>
    <w:rsid w:val="002A1095"/>
    <w:rsid w:val="002A5F10"/>
    <w:rsid w:val="002B0B1E"/>
    <w:rsid w:val="002B2895"/>
    <w:rsid w:val="002B4A8C"/>
    <w:rsid w:val="002B4E4B"/>
    <w:rsid w:val="002B74F2"/>
    <w:rsid w:val="002C0E7F"/>
    <w:rsid w:val="002C340C"/>
    <w:rsid w:val="002C42C9"/>
    <w:rsid w:val="002D1190"/>
    <w:rsid w:val="002D4752"/>
    <w:rsid w:val="002D68E5"/>
    <w:rsid w:val="002E4013"/>
    <w:rsid w:val="002F038E"/>
    <w:rsid w:val="002F03D3"/>
    <w:rsid w:val="002F0B87"/>
    <w:rsid w:val="002F250A"/>
    <w:rsid w:val="002F63D4"/>
    <w:rsid w:val="002F7E6B"/>
    <w:rsid w:val="003068EB"/>
    <w:rsid w:val="00307387"/>
    <w:rsid w:val="0031172A"/>
    <w:rsid w:val="00312411"/>
    <w:rsid w:val="00320528"/>
    <w:rsid w:val="00333145"/>
    <w:rsid w:val="003502D2"/>
    <w:rsid w:val="003534D9"/>
    <w:rsid w:val="003550BE"/>
    <w:rsid w:val="0035695A"/>
    <w:rsid w:val="00360DA9"/>
    <w:rsid w:val="00371649"/>
    <w:rsid w:val="003A0858"/>
    <w:rsid w:val="003A0BCD"/>
    <w:rsid w:val="003A0D23"/>
    <w:rsid w:val="003B01EB"/>
    <w:rsid w:val="003B0322"/>
    <w:rsid w:val="003C28EC"/>
    <w:rsid w:val="003C6A92"/>
    <w:rsid w:val="003D1108"/>
    <w:rsid w:val="003D15A1"/>
    <w:rsid w:val="003E7FC6"/>
    <w:rsid w:val="003F21BC"/>
    <w:rsid w:val="00406279"/>
    <w:rsid w:val="004067F5"/>
    <w:rsid w:val="00416B17"/>
    <w:rsid w:val="00421764"/>
    <w:rsid w:val="00431D23"/>
    <w:rsid w:val="0044693B"/>
    <w:rsid w:val="00447F12"/>
    <w:rsid w:val="004501AB"/>
    <w:rsid w:val="0046776B"/>
    <w:rsid w:val="00470EB0"/>
    <w:rsid w:val="00472BF0"/>
    <w:rsid w:val="004750F0"/>
    <w:rsid w:val="00490C39"/>
    <w:rsid w:val="004978EC"/>
    <w:rsid w:val="004B16C2"/>
    <w:rsid w:val="004B19C4"/>
    <w:rsid w:val="004B1FD6"/>
    <w:rsid w:val="004B22E4"/>
    <w:rsid w:val="004C0399"/>
    <w:rsid w:val="004C3206"/>
    <w:rsid w:val="004D0838"/>
    <w:rsid w:val="004D2D66"/>
    <w:rsid w:val="004E5AA7"/>
    <w:rsid w:val="004F10E2"/>
    <w:rsid w:val="004F65CC"/>
    <w:rsid w:val="00506BA2"/>
    <w:rsid w:val="0051416F"/>
    <w:rsid w:val="005228B3"/>
    <w:rsid w:val="0052414F"/>
    <w:rsid w:val="00525A72"/>
    <w:rsid w:val="00533288"/>
    <w:rsid w:val="00535A95"/>
    <w:rsid w:val="0053656A"/>
    <w:rsid w:val="00540452"/>
    <w:rsid w:val="00541DA7"/>
    <w:rsid w:val="005458E2"/>
    <w:rsid w:val="005605A7"/>
    <w:rsid w:val="00564DC2"/>
    <w:rsid w:val="0058685C"/>
    <w:rsid w:val="00590F42"/>
    <w:rsid w:val="00593AAF"/>
    <w:rsid w:val="005949BD"/>
    <w:rsid w:val="00596075"/>
    <w:rsid w:val="005A2A0C"/>
    <w:rsid w:val="005C0E69"/>
    <w:rsid w:val="005C2A3D"/>
    <w:rsid w:val="005C4C30"/>
    <w:rsid w:val="005C7307"/>
    <w:rsid w:val="005D1CDC"/>
    <w:rsid w:val="005D2118"/>
    <w:rsid w:val="005D41CB"/>
    <w:rsid w:val="005E3D8D"/>
    <w:rsid w:val="005E5A28"/>
    <w:rsid w:val="005E7159"/>
    <w:rsid w:val="005E7201"/>
    <w:rsid w:val="005E7468"/>
    <w:rsid w:val="005F1D24"/>
    <w:rsid w:val="005F3E6D"/>
    <w:rsid w:val="005F5C0E"/>
    <w:rsid w:val="00601B84"/>
    <w:rsid w:val="006143E6"/>
    <w:rsid w:val="00620025"/>
    <w:rsid w:val="00630DD8"/>
    <w:rsid w:val="00633EBF"/>
    <w:rsid w:val="006353A0"/>
    <w:rsid w:val="00635BC4"/>
    <w:rsid w:val="00642A6E"/>
    <w:rsid w:val="00646CDB"/>
    <w:rsid w:val="00651E13"/>
    <w:rsid w:val="00654132"/>
    <w:rsid w:val="00657FBA"/>
    <w:rsid w:val="00661358"/>
    <w:rsid w:val="00663634"/>
    <w:rsid w:val="0067051A"/>
    <w:rsid w:val="00676ABA"/>
    <w:rsid w:val="00684876"/>
    <w:rsid w:val="006A53E4"/>
    <w:rsid w:val="006B11FA"/>
    <w:rsid w:val="006C38AA"/>
    <w:rsid w:val="006D2DE7"/>
    <w:rsid w:val="006D4F2A"/>
    <w:rsid w:val="006D7156"/>
    <w:rsid w:val="006E070A"/>
    <w:rsid w:val="006E5199"/>
    <w:rsid w:val="00706043"/>
    <w:rsid w:val="00713AA4"/>
    <w:rsid w:val="007208C7"/>
    <w:rsid w:val="00724DAE"/>
    <w:rsid w:val="00730BB8"/>
    <w:rsid w:val="007417D7"/>
    <w:rsid w:val="00746444"/>
    <w:rsid w:val="00746716"/>
    <w:rsid w:val="00746DC5"/>
    <w:rsid w:val="007473B6"/>
    <w:rsid w:val="007563DA"/>
    <w:rsid w:val="00771013"/>
    <w:rsid w:val="0077446E"/>
    <w:rsid w:val="007852B4"/>
    <w:rsid w:val="007A710C"/>
    <w:rsid w:val="007B33B8"/>
    <w:rsid w:val="007B41DF"/>
    <w:rsid w:val="007B7575"/>
    <w:rsid w:val="007B789F"/>
    <w:rsid w:val="007B7AFF"/>
    <w:rsid w:val="007C561B"/>
    <w:rsid w:val="007C7FB3"/>
    <w:rsid w:val="007E78EC"/>
    <w:rsid w:val="007F0985"/>
    <w:rsid w:val="007F3437"/>
    <w:rsid w:val="007F4A62"/>
    <w:rsid w:val="00804C22"/>
    <w:rsid w:val="008064B0"/>
    <w:rsid w:val="0081424E"/>
    <w:rsid w:val="008154A4"/>
    <w:rsid w:val="00817C97"/>
    <w:rsid w:val="00820827"/>
    <w:rsid w:val="0082442D"/>
    <w:rsid w:val="00824E80"/>
    <w:rsid w:val="00825343"/>
    <w:rsid w:val="00832813"/>
    <w:rsid w:val="008452CD"/>
    <w:rsid w:val="00862DA8"/>
    <w:rsid w:val="00867F2C"/>
    <w:rsid w:val="008717FD"/>
    <w:rsid w:val="00876947"/>
    <w:rsid w:val="00881851"/>
    <w:rsid w:val="00884B31"/>
    <w:rsid w:val="00896BB7"/>
    <w:rsid w:val="00897B9A"/>
    <w:rsid w:val="008A6D73"/>
    <w:rsid w:val="008A7212"/>
    <w:rsid w:val="008B09E2"/>
    <w:rsid w:val="008C277A"/>
    <w:rsid w:val="008C6975"/>
    <w:rsid w:val="008D40F0"/>
    <w:rsid w:val="008E40E7"/>
    <w:rsid w:val="008E7A21"/>
    <w:rsid w:val="008F29A4"/>
    <w:rsid w:val="008F41D7"/>
    <w:rsid w:val="008F6E93"/>
    <w:rsid w:val="008F7CBF"/>
    <w:rsid w:val="00900BE1"/>
    <w:rsid w:val="009018B2"/>
    <w:rsid w:val="0090727C"/>
    <w:rsid w:val="00911B82"/>
    <w:rsid w:val="009124F2"/>
    <w:rsid w:val="00917615"/>
    <w:rsid w:val="009254EE"/>
    <w:rsid w:val="00937CCE"/>
    <w:rsid w:val="00940308"/>
    <w:rsid w:val="00945E3F"/>
    <w:rsid w:val="00950716"/>
    <w:rsid w:val="00954AB6"/>
    <w:rsid w:val="00956D6D"/>
    <w:rsid w:val="00960BBC"/>
    <w:rsid w:val="00962899"/>
    <w:rsid w:val="00963583"/>
    <w:rsid w:val="00973DEB"/>
    <w:rsid w:val="009749AF"/>
    <w:rsid w:val="00980D6B"/>
    <w:rsid w:val="00982073"/>
    <w:rsid w:val="00984655"/>
    <w:rsid w:val="009863E5"/>
    <w:rsid w:val="0098691E"/>
    <w:rsid w:val="009874CD"/>
    <w:rsid w:val="00993359"/>
    <w:rsid w:val="009A0E05"/>
    <w:rsid w:val="009A2F84"/>
    <w:rsid w:val="009B2550"/>
    <w:rsid w:val="009B6612"/>
    <w:rsid w:val="009D2DF1"/>
    <w:rsid w:val="009E6C40"/>
    <w:rsid w:val="009F13BF"/>
    <w:rsid w:val="009F5E85"/>
    <w:rsid w:val="00A00E18"/>
    <w:rsid w:val="00A03C11"/>
    <w:rsid w:val="00A079BA"/>
    <w:rsid w:val="00A1308A"/>
    <w:rsid w:val="00A141D7"/>
    <w:rsid w:val="00A30F9F"/>
    <w:rsid w:val="00A322F7"/>
    <w:rsid w:val="00A324A3"/>
    <w:rsid w:val="00A4557E"/>
    <w:rsid w:val="00A47259"/>
    <w:rsid w:val="00A55238"/>
    <w:rsid w:val="00A57483"/>
    <w:rsid w:val="00A61538"/>
    <w:rsid w:val="00A66E27"/>
    <w:rsid w:val="00A67B5D"/>
    <w:rsid w:val="00A70E7C"/>
    <w:rsid w:val="00A72D94"/>
    <w:rsid w:val="00A74F7B"/>
    <w:rsid w:val="00A753E8"/>
    <w:rsid w:val="00A901C9"/>
    <w:rsid w:val="00A924EB"/>
    <w:rsid w:val="00AA3A30"/>
    <w:rsid w:val="00AA5600"/>
    <w:rsid w:val="00AA5740"/>
    <w:rsid w:val="00AA7E7F"/>
    <w:rsid w:val="00AB6108"/>
    <w:rsid w:val="00AC3461"/>
    <w:rsid w:val="00AC6210"/>
    <w:rsid w:val="00AD431D"/>
    <w:rsid w:val="00AE0BE6"/>
    <w:rsid w:val="00AE0D7C"/>
    <w:rsid w:val="00AF1ADC"/>
    <w:rsid w:val="00AF509A"/>
    <w:rsid w:val="00B03CEA"/>
    <w:rsid w:val="00B23EF1"/>
    <w:rsid w:val="00B35A24"/>
    <w:rsid w:val="00B417FE"/>
    <w:rsid w:val="00B447E0"/>
    <w:rsid w:val="00B4620C"/>
    <w:rsid w:val="00B63A16"/>
    <w:rsid w:val="00B64DCB"/>
    <w:rsid w:val="00B740A2"/>
    <w:rsid w:val="00B8560C"/>
    <w:rsid w:val="00B85E02"/>
    <w:rsid w:val="00B91FF4"/>
    <w:rsid w:val="00B9413E"/>
    <w:rsid w:val="00BA2D3F"/>
    <w:rsid w:val="00BA6E2C"/>
    <w:rsid w:val="00BB3A58"/>
    <w:rsid w:val="00BC2413"/>
    <w:rsid w:val="00BC27B7"/>
    <w:rsid w:val="00BD019B"/>
    <w:rsid w:val="00BD2785"/>
    <w:rsid w:val="00BD40CF"/>
    <w:rsid w:val="00BE1B26"/>
    <w:rsid w:val="00BE4298"/>
    <w:rsid w:val="00BE4354"/>
    <w:rsid w:val="00BE67C8"/>
    <w:rsid w:val="00BF2436"/>
    <w:rsid w:val="00C03A83"/>
    <w:rsid w:val="00C12F92"/>
    <w:rsid w:val="00C148F1"/>
    <w:rsid w:val="00C14911"/>
    <w:rsid w:val="00C165C1"/>
    <w:rsid w:val="00C24464"/>
    <w:rsid w:val="00C25476"/>
    <w:rsid w:val="00C4790D"/>
    <w:rsid w:val="00C533FE"/>
    <w:rsid w:val="00C54362"/>
    <w:rsid w:val="00C57D17"/>
    <w:rsid w:val="00C902FB"/>
    <w:rsid w:val="00C94253"/>
    <w:rsid w:val="00CB0A30"/>
    <w:rsid w:val="00CB13C8"/>
    <w:rsid w:val="00CB3682"/>
    <w:rsid w:val="00CC69C6"/>
    <w:rsid w:val="00CD1050"/>
    <w:rsid w:val="00CD2031"/>
    <w:rsid w:val="00CD3C85"/>
    <w:rsid w:val="00CD6698"/>
    <w:rsid w:val="00CE4049"/>
    <w:rsid w:val="00CE4752"/>
    <w:rsid w:val="00CE5C91"/>
    <w:rsid w:val="00D0438C"/>
    <w:rsid w:val="00D066C9"/>
    <w:rsid w:val="00D10413"/>
    <w:rsid w:val="00D110E0"/>
    <w:rsid w:val="00D13235"/>
    <w:rsid w:val="00D15330"/>
    <w:rsid w:val="00D2709E"/>
    <w:rsid w:val="00D31842"/>
    <w:rsid w:val="00D33C49"/>
    <w:rsid w:val="00D34B25"/>
    <w:rsid w:val="00D37984"/>
    <w:rsid w:val="00D533DF"/>
    <w:rsid w:val="00D632FC"/>
    <w:rsid w:val="00D63BF4"/>
    <w:rsid w:val="00D6401A"/>
    <w:rsid w:val="00D668D9"/>
    <w:rsid w:val="00D76EA6"/>
    <w:rsid w:val="00D802D8"/>
    <w:rsid w:val="00D80F48"/>
    <w:rsid w:val="00D834C3"/>
    <w:rsid w:val="00D8629A"/>
    <w:rsid w:val="00DA2EC4"/>
    <w:rsid w:val="00DA7DB4"/>
    <w:rsid w:val="00DC2257"/>
    <w:rsid w:val="00DC3D8C"/>
    <w:rsid w:val="00DC4A11"/>
    <w:rsid w:val="00DD74AC"/>
    <w:rsid w:val="00DE095D"/>
    <w:rsid w:val="00DE18FE"/>
    <w:rsid w:val="00DE4F0A"/>
    <w:rsid w:val="00DF10C0"/>
    <w:rsid w:val="00DF37E3"/>
    <w:rsid w:val="00E00C30"/>
    <w:rsid w:val="00E01096"/>
    <w:rsid w:val="00E0596C"/>
    <w:rsid w:val="00E1659D"/>
    <w:rsid w:val="00E2520E"/>
    <w:rsid w:val="00E25E8C"/>
    <w:rsid w:val="00E304D1"/>
    <w:rsid w:val="00E41058"/>
    <w:rsid w:val="00E44D01"/>
    <w:rsid w:val="00E471A2"/>
    <w:rsid w:val="00E533CF"/>
    <w:rsid w:val="00E5672D"/>
    <w:rsid w:val="00E665FC"/>
    <w:rsid w:val="00E7026E"/>
    <w:rsid w:val="00E70E4E"/>
    <w:rsid w:val="00E73137"/>
    <w:rsid w:val="00E818CB"/>
    <w:rsid w:val="00E8455C"/>
    <w:rsid w:val="00E85E9D"/>
    <w:rsid w:val="00E86957"/>
    <w:rsid w:val="00E87820"/>
    <w:rsid w:val="00E95938"/>
    <w:rsid w:val="00E95D15"/>
    <w:rsid w:val="00EA3541"/>
    <w:rsid w:val="00EA4919"/>
    <w:rsid w:val="00EA5DC5"/>
    <w:rsid w:val="00EA616A"/>
    <w:rsid w:val="00EC6A95"/>
    <w:rsid w:val="00ED0B96"/>
    <w:rsid w:val="00ED0E34"/>
    <w:rsid w:val="00ED765D"/>
    <w:rsid w:val="00EF1748"/>
    <w:rsid w:val="00EF2F85"/>
    <w:rsid w:val="00EF3962"/>
    <w:rsid w:val="00EF51A4"/>
    <w:rsid w:val="00F017FC"/>
    <w:rsid w:val="00F02ACF"/>
    <w:rsid w:val="00F177D8"/>
    <w:rsid w:val="00F22954"/>
    <w:rsid w:val="00F34D04"/>
    <w:rsid w:val="00F36C1C"/>
    <w:rsid w:val="00F413A2"/>
    <w:rsid w:val="00F41BEC"/>
    <w:rsid w:val="00F4582B"/>
    <w:rsid w:val="00F45D5B"/>
    <w:rsid w:val="00F50222"/>
    <w:rsid w:val="00F5093B"/>
    <w:rsid w:val="00F56801"/>
    <w:rsid w:val="00F60F5D"/>
    <w:rsid w:val="00F82BEB"/>
    <w:rsid w:val="00F847EE"/>
    <w:rsid w:val="00F86219"/>
    <w:rsid w:val="00FA4D15"/>
    <w:rsid w:val="00FA6950"/>
    <w:rsid w:val="00FA6B3E"/>
    <w:rsid w:val="00FA6B64"/>
    <w:rsid w:val="00FA6D25"/>
    <w:rsid w:val="00FB04BD"/>
    <w:rsid w:val="00FB3BF9"/>
    <w:rsid w:val="00FB6BD9"/>
    <w:rsid w:val="00FC75EE"/>
    <w:rsid w:val="00FD2701"/>
    <w:rsid w:val="00FD2917"/>
    <w:rsid w:val="00FD6767"/>
    <w:rsid w:val="00FE554D"/>
    <w:rsid w:val="00FE6C4C"/>
    <w:rsid w:val="00FE6DAD"/>
    <w:rsid w:val="00FF56E9"/>
    <w:rsid w:val="093512B0"/>
    <w:rsid w:val="0D814AC5"/>
    <w:rsid w:val="1C533F41"/>
    <w:rsid w:val="1D7945EB"/>
    <w:rsid w:val="26315723"/>
    <w:rsid w:val="283C0D12"/>
    <w:rsid w:val="3D6842D6"/>
    <w:rsid w:val="45A90D14"/>
    <w:rsid w:val="4A303796"/>
    <w:rsid w:val="53BF68AD"/>
    <w:rsid w:val="5BAB702F"/>
    <w:rsid w:val="74FD7E4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iPriority="0" w:semiHidden="0" w:name="heading 5"/>
    <w:lsdException w:qFormat="1" w:uiPriority="0" w:semiHidden="0" w:name="heading 6"/>
    <w:lsdException w:qFormat="1" w:uiPriority="9" w:semiHidden="0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uiPriority="39" w:semiHidden="0" w:name="toc 5"/>
    <w:lsdException w:qFormat="1" w:uiPriority="39" w:semiHidden="0" w:name="toc 6"/>
    <w:lsdException w:uiPriority="39" w:semiHidden="0" w:name="toc 7"/>
    <w:lsdException w:qFormat="1" w:uiPriority="39" w:semiHidden="0" w:name="toc 8"/>
    <w:lsdException w:qFormat="1" w:uiPriority="39" w:semiHidden="0" w:name="toc 9"/>
    <w:lsdException w:uiPriority="99" w:name="Normal Indent"/>
    <w:lsdException w:uiPriority="99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semiHidden="0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qFormat="1" w:uiPriority="99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38"/>
    <w:qFormat/>
    <w:uiPriority w:val="0"/>
    <w:pPr>
      <w:keepNext/>
      <w:keepLines/>
      <w:numPr>
        <w:ilvl w:val="0"/>
        <w:numId w:val="1"/>
      </w:numPr>
      <w:spacing w:before="120" w:after="120" w:line="360" w:lineRule="auto"/>
      <w:ind w:left="0" w:firstLine="0"/>
      <w:outlineLvl w:val="0"/>
    </w:pPr>
    <w:rPr>
      <w:b/>
      <w:bCs/>
      <w:kern w:val="44"/>
      <w:sz w:val="32"/>
      <w:szCs w:val="28"/>
    </w:rPr>
  </w:style>
  <w:style w:type="paragraph" w:styleId="3">
    <w:name w:val="heading 2"/>
    <w:basedOn w:val="1"/>
    <w:next w:val="1"/>
    <w:link w:val="40"/>
    <w:qFormat/>
    <w:uiPriority w:val="0"/>
    <w:pPr>
      <w:keepNext/>
      <w:keepLines/>
      <w:numPr>
        <w:ilvl w:val="1"/>
        <w:numId w:val="1"/>
      </w:numPr>
      <w:spacing w:before="120" w:after="120" w:line="360" w:lineRule="auto"/>
      <w:ind w:left="0" w:firstLine="0"/>
      <w:outlineLvl w:val="1"/>
    </w:pPr>
    <w:rPr>
      <w:b/>
      <w:bCs/>
      <w:kern w:val="0"/>
      <w:sz w:val="30"/>
      <w:szCs w:val="32"/>
    </w:rPr>
  </w:style>
  <w:style w:type="paragraph" w:styleId="4">
    <w:name w:val="heading 3"/>
    <w:basedOn w:val="1"/>
    <w:next w:val="1"/>
    <w:link w:val="42"/>
    <w:qFormat/>
    <w:uiPriority w:val="0"/>
    <w:pPr>
      <w:keepNext/>
      <w:keepLines/>
      <w:numPr>
        <w:ilvl w:val="2"/>
        <w:numId w:val="1"/>
      </w:numPr>
      <w:spacing w:before="120" w:after="120" w:line="360" w:lineRule="auto"/>
      <w:ind w:left="0" w:firstLine="0"/>
      <w:outlineLvl w:val="2"/>
    </w:pPr>
    <w:rPr>
      <w:b/>
      <w:bCs/>
      <w:kern w:val="0"/>
      <w:sz w:val="28"/>
      <w:szCs w:val="18"/>
    </w:rPr>
  </w:style>
  <w:style w:type="paragraph" w:styleId="5">
    <w:name w:val="heading 4"/>
    <w:basedOn w:val="1"/>
    <w:next w:val="1"/>
    <w:link w:val="45"/>
    <w:qFormat/>
    <w:uiPriority w:val="0"/>
    <w:pPr>
      <w:keepNext/>
      <w:keepLines/>
      <w:numPr>
        <w:ilvl w:val="3"/>
        <w:numId w:val="1"/>
      </w:numPr>
      <w:spacing w:before="120" w:after="120" w:line="360" w:lineRule="auto"/>
      <w:ind w:left="0" w:firstLine="0"/>
      <w:outlineLvl w:val="3"/>
    </w:pPr>
    <w:rPr>
      <w:b/>
      <w:bCs/>
      <w:kern w:val="0"/>
      <w:sz w:val="24"/>
      <w:szCs w:val="28"/>
    </w:rPr>
  </w:style>
  <w:style w:type="paragraph" w:styleId="6">
    <w:name w:val="heading 5"/>
    <w:basedOn w:val="1"/>
    <w:next w:val="1"/>
    <w:link w:val="47"/>
    <w:unhideWhenUsed/>
    <w:qFormat/>
    <w:uiPriority w:val="0"/>
    <w:pPr>
      <w:keepNext/>
      <w:keepLines/>
      <w:numPr>
        <w:ilvl w:val="4"/>
        <w:numId w:val="1"/>
      </w:numPr>
      <w:spacing w:before="120" w:after="120" w:line="360" w:lineRule="auto"/>
      <w:ind w:left="0" w:firstLine="0"/>
      <w:outlineLvl w:val="4"/>
    </w:pPr>
    <w:rPr>
      <w:b/>
      <w:bCs/>
      <w:kern w:val="0"/>
      <w:sz w:val="20"/>
      <w:szCs w:val="28"/>
    </w:rPr>
  </w:style>
  <w:style w:type="paragraph" w:styleId="7">
    <w:name w:val="heading 6"/>
    <w:basedOn w:val="1"/>
    <w:next w:val="1"/>
    <w:link w:val="49"/>
    <w:unhideWhenUsed/>
    <w:qFormat/>
    <w:uiPriority w:val="0"/>
    <w:pPr>
      <w:keepNext/>
      <w:keepLines/>
      <w:numPr>
        <w:ilvl w:val="5"/>
        <w:numId w:val="1"/>
      </w:numPr>
      <w:spacing w:before="120" w:after="120" w:line="360" w:lineRule="auto"/>
      <w:outlineLvl w:val="5"/>
    </w:pPr>
    <w:rPr>
      <w:rFonts w:ascii="Cambria" w:hAnsi="Cambria"/>
      <w:b/>
      <w:bCs/>
      <w:kern w:val="0"/>
      <w:sz w:val="24"/>
    </w:rPr>
  </w:style>
  <w:style w:type="paragraph" w:styleId="8">
    <w:name w:val="heading 7"/>
    <w:basedOn w:val="1"/>
    <w:next w:val="1"/>
    <w:link w:val="46"/>
    <w:unhideWhenUsed/>
    <w:qFormat/>
    <w:uiPriority w:val="9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character" w:default="1" w:styleId="28">
    <w:name w:val="Default Paragraph Font"/>
    <w:unhideWhenUsed/>
    <w:qFormat/>
    <w:uiPriority w:val="1"/>
  </w:style>
  <w:style w:type="table" w:default="1" w:styleId="27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9">
    <w:name w:val="toc 7"/>
    <w:basedOn w:val="1"/>
    <w:next w:val="1"/>
    <w:unhideWhenUsed/>
    <w:uiPriority w:val="39"/>
    <w:pPr>
      <w:ind w:left="2520" w:leftChars="1200"/>
    </w:pPr>
    <w:rPr>
      <w:rFonts w:ascii="Calibri" w:hAnsi="Calibri" w:eastAsia="宋体" w:cs="Times New Roman"/>
      <w:szCs w:val="22"/>
    </w:rPr>
  </w:style>
  <w:style w:type="paragraph" w:styleId="10">
    <w:name w:val="Document Map"/>
    <w:basedOn w:val="1"/>
    <w:link w:val="41"/>
    <w:unhideWhenUsed/>
    <w:qFormat/>
    <w:uiPriority w:val="99"/>
    <w:rPr>
      <w:rFonts w:ascii="宋体"/>
      <w:kern w:val="0"/>
      <w:sz w:val="18"/>
      <w:szCs w:val="18"/>
    </w:rPr>
  </w:style>
  <w:style w:type="paragraph" w:styleId="11">
    <w:name w:val="annotation text"/>
    <w:basedOn w:val="1"/>
    <w:link w:val="43"/>
    <w:unhideWhenUsed/>
    <w:qFormat/>
    <w:uiPriority w:val="99"/>
    <w:pPr>
      <w:jc w:val="left"/>
    </w:pPr>
  </w:style>
  <w:style w:type="paragraph" w:styleId="12">
    <w:name w:val="Body Text Indent"/>
    <w:basedOn w:val="1"/>
    <w:link w:val="50"/>
    <w:qFormat/>
    <w:uiPriority w:val="0"/>
    <w:pPr>
      <w:spacing w:after="120"/>
      <w:ind w:left="420" w:leftChars="200"/>
    </w:pPr>
    <w:rPr>
      <w:kern w:val="0"/>
      <w:sz w:val="20"/>
    </w:rPr>
  </w:style>
  <w:style w:type="paragraph" w:styleId="13">
    <w:name w:val="toc 5"/>
    <w:basedOn w:val="1"/>
    <w:next w:val="1"/>
    <w:unhideWhenUsed/>
    <w:uiPriority w:val="39"/>
    <w:pPr>
      <w:ind w:left="1680" w:leftChars="800"/>
    </w:pPr>
    <w:rPr>
      <w:rFonts w:ascii="Calibri" w:hAnsi="Calibri" w:eastAsia="宋体" w:cs="Times New Roman"/>
      <w:szCs w:val="22"/>
    </w:rPr>
  </w:style>
  <w:style w:type="paragraph" w:styleId="14">
    <w:name w:val="toc 3"/>
    <w:basedOn w:val="1"/>
    <w:next w:val="1"/>
    <w:unhideWhenUsed/>
    <w:qFormat/>
    <w:uiPriority w:val="39"/>
    <w:pPr>
      <w:ind w:left="840" w:leftChars="400"/>
    </w:pPr>
  </w:style>
  <w:style w:type="paragraph" w:styleId="15">
    <w:name w:val="toc 8"/>
    <w:basedOn w:val="1"/>
    <w:next w:val="1"/>
    <w:unhideWhenUsed/>
    <w:qFormat/>
    <w:uiPriority w:val="39"/>
    <w:pPr>
      <w:ind w:left="2940" w:leftChars="1400"/>
    </w:pPr>
    <w:rPr>
      <w:rFonts w:ascii="Calibri" w:hAnsi="Calibri" w:eastAsia="宋体" w:cs="Times New Roman"/>
      <w:szCs w:val="22"/>
    </w:rPr>
  </w:style>
  <w:style w:type="paragraph" w:styleId="16">
    <w:name w:val="Balloon Text"/>
    <w:basedOn w:val="1"/>
    <w:link w:val="39"/>
    <w:unhideWhenUsed/>
    <w:qFormat/>
    <w:uiPriority w:val="99"/>
    <w:rPr>
      <w:kern w:val="0"/>
      <w:sz w:val="18"/>
      <w:szCs w:val="18"/>
    </w:rPr>
  </w:style>
  <w:style w:type="paragraph" w:styleId="17">
    <w:name w:val="footer"/>
    <w:basedOn w:val="1"/>
    <w:link w:val="3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Calibri" w:hAnsi="Calibri"/>
      <w:kern w:val="0"/>
      <w:sz w:val="18"/>
      <w:szCs w:val="18"/>
    </w:rPr>
  </w:style>
  <w:style w:type="paragraph" w:styleId="18">
    <w:name w:val="header"/>
    <w:basedOn w:val="1"/>
    <w:link w:val="3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Calibri" w:hAnsi="Calibri"/>
      <w:kern w:val="0"/>
      <w:sz w:val="18"/>
      <w:szCs w:val="18"/>
    </w:rPr>
  </w:style>
  <w:style w:type="paragraph" w:styleId="19">
    <w:name w:val="toc 1"/>
    <w:basedOn w:val="1"/>
    <w:next w:val="1"/>
    <w:unhideWhenUsed/>
    <w:qFormat/>
    <w:uiPriority w:val="39"/>
    <w:pPr>
      <w:tabs>
        <w:tab w:val="right" w:leader="dot" w:pos="8296"/>
      </w:tabs>
      <w:jc w:val="center"/>
    </w:pPr>
    <w:rPr>
      <w:sz w:val="32"/>
      <w:szCs w:val="32"/>
    </w:rPr>
  </w:style>
  <w:style w:type="paragraph" w:styleId="20">
    <w:name w:val="toc 4"/>
    <w:basedOn w:val="1"/>
    <w:next w:val="1"/>
    <w:unhideWhenUsed/>
    <w:qFormat/>
    <w:uiPriority w:val="39"/>
    <w:pPr>
      <w:ind w:left="1260" w:leftChars="600"/>
    </w:pPr>
    <w:rPr>
      <w:rFonts w:ascii="Calibri" w:hAnsi="Calibri" w:eastAsia="宋体" w:cs="Times New Roman"/>
      <w:szCs w:val="22"/>
    </w:rPr>
  </w:style>
  <w:style w:type="paragraph" w:styleId="21">
    <w:name w:val="toc 6"/>
    <w:basedOn w:val="1"/>
    <w:next w:val="1"/>
    <w:unhideWhenUsed/>
    <w:qFormat/>
    <w:uiPriority w:val="39"/>
    <w:pPr>
      <w:ind w:left="2100" w:leftChars="1000"/>
    </w:pPr>
    <w:rPr>
      <w:rFonts w:ascii="Calibri" w:hAnsi="Calibri" w:eastAsia="宋体" w:cs="Times New Roman"/>
      <w:szCs w:val="22"/>
    </w:rPr>
  </w:style>
  <w:style w:type="paragraph" w:styleId="22">
    <w:name w:val="toc 2"/>
    <w:basedOn w:val="1"/>
    <w:next w:val="1"/>
    <w:unhideWhenUsed/>
    <w:qFormat/>
    <w:uiPriority w:val="39"/>
    <w:pPr>
      <w:ind w:left="420" w:leftChars="200"/>
    </w:pPr>
  </w:style>
  <w:style w:type="paragraph" w:styleId="23">
    <w:name w:val="toc 9"/>
    <w:basedOn w:val="1"/>
    <w:next w:val="1"/>
    <w:unhideWhenUsed/>
    <w:qFormat/>
    <w:uiPriority w:val="39"/>
    <w:pPr>
      <w:ind w:left="3360" w:leftChars="1600"/>
    </w:pPr>
    <w:rPr>
      <w:rFonts w:ascii="Calibri" w:hAnsi="Calibri" w:eastAsia="宋体" w:cs="Times New Roman"/>
      <w:szCs w:val="22"/>
    </w:rPr>
  </w:style>
  <w:style w:type="paragraph" w:styleId="24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5">
    <w:name w:val="Title"/>
    <w:basedOn w:val="1"/>
    <w:next w:val="1"/>
    <w:link w:val="37"/>
    <w:qFormat/>
    <w:uiPriority w:val="10"/>
    <w:pPr>
      <w:spacing w:before="240" w:after="60" w:line="960" w:lineRule="auto"/>
      <w:jc w:val="center"/>
    </w:pPr>
    <w:rPr>
      <w:rFonts w:ascii="Cambria" w:hAnsi="Cambria" w:eastAsia="黑体"/>
      <w:b/>
      <w:bCs/>
      <w:kern w:val="0"/>
      <w:sz w:val="52"/>
      <w:szCs w:val="32"/>
    </w:rPr>
  </w:style>
  <w:style w:type="paragraph" w:styleId="26">
    <w:name w:val="annotation subject"/>
    <w:basedOn w:val="11"/>
    <w:next w:val="11"/>
    <w:link w:val="48"/>
    <w:unhideWhenUsed/>
    <w:qFormat/>
    <w:uiPriority w:val="99"/>
    <w:rPr>
      <w:b/>
      <w:bCs/>
    </w:rPr>
  </w:style>
  <w:style w:type="character" w:styleId="29">
    <w:name w:val="Strong"/>
    <w:basedOn w:val="28"/>
    <w:qFormat/>
    <w:uiPriority w:val="22"/>
    <w:rPr>
      <w:b/>
    </w:rPr>
  </w:style>
  <w:style w:type="character" w:styleId="30">
    <w:name w:val="FollowedHyperlink"/>
    <w:unhideWhenUsed/>
    <w:qFormat/>
    <w:uiPriority w:val="99"/>
    <w:rPr>
      <w:color w:val="800080"/>
      <w:u w:val="single"/>
    </w:rPr>
  </w:style>
  <w:style w:type="character" w:styleId="31">
    <w:name w:val="Hyperlink"/>
    <w:unhideWhenUsed/>
    <w:qFormat/>
    <w:uiPriority w:val="99"/>
    <w:rPr>
      <w:color w:val="0000FF"/>
      <w:u w:val="single"/>
    </w:rPr>
  </w:style>
  <w:style w:type="character" w:styleId="32">
    <w:name w:val="annotation reference"/>
    <w:basedOn w:val="28"/>
    <w:unhideWhenUsed/>
    <w:qFormat/>
    <w:uiPriority w:val="99"/>
    <w:rPr>
      <w:sz w:val="21"/>
      <w:szCs w:val="21"/>
    </w:rPr>
  </w:style>
  <w:style w:type="character" w:customStyle="1" w:styleId="33">
    <w:name w:val="页眉 Char"/>
    <w:link w:val="18"/>
    <w:qFormat/>
    <w:uiPriority w:val="99"/>
    <w:rPr>
      <w:sz w:val="18"/>
      <w:szCs w:val="18"/>
    </w:rPr>
  </w:style>
  <w:style w:type="character" w:customStyle="1" w:styleId="34">
    <w:name w:val="标题6 Char"/>
    <w:link w:val="35"/>
    <w:qFormat/>
    <w:uiPriority w:val="0"/>
    <w:rPr>
      <w:rFonts w:ascii="Times New Roman" w:hAnsi="Times New Roman" w:eastAsia="宋体" w:cs="Times New Roman"/>
      <w:b/>
      <w:sz w:val="24"/>
      <w:szCs w:val="24"/>
    </w:rPr>
  </w:style>
  <w:style w:type="paragraph" w:customStyle="1" w:styleId="35">
    <w:name w:val="标题6"/>
    <w:basedOn w:val="7"/>
    <w:link w:val="34"/>
    <w:qFormat/>
    <w:uiPriority w:val="0"/>
    <w:pPr>
      <w:ind w:left="0" w:firstLine="0"/>
    </w:pPr>
    <w:rPr>
      <w:rFonts w:ascii="Times New Roman" w:hAnsi="Times New Roman"/>
      <w:bCs w:val="0"/>
    </w:rPr>
  </w:style>
  <w:style w:type="character" w:customStyle="1" w:styleId="36">
    <w:name w:val="页脚 Char"/>
    <w:link w:val="17"/>
    <w:qFormat/>
    <w:uiPriority w:val="99"/>
    <w:rPr>
      <w:sz w:val="18"/>
      <w:szCs w:val="18"/>
    </w:rPr>
  </w:style>
  <w:style w:type="character" w:customStyle="1" w:styleId="37">
    <w:name w:val="标题 Char"/>
    <w:link w:val="25"/>
    <w:qFormat/>
    <w:uiPriority w:val="10"/>
    <w:rPr>
      <w:rFonts w:ascii="Cambria" w:hAnsi="Cambria" w:eastAsia="黑体" w:cs="Times New Roman"/>
      <w:b/>
      <w:bCs/>
      <w:sz w:val="52"/>
      <w:szCs w:val="32"/>
    </w:rPr>
  </w:style>
  <w:style w:type="character" w:customStyle="1" w:styleId="38">
    <w:name w:val="标题 1 Char"/>
    <w:link w:val="2"/>
    <w:qFormat/>
    <w:uiPriority w:val="0"/>
    <w:rPr>
      <w:rFonts w:ascii="Times New Roman" w:hAnsi="Times New Roman" w:eastAsia="宋体" w:cs="Times New Roman"/>
      <w:b/>
      <w:bCs/>
      <w:kern w:val="44"/>
      <w:sz w:val="32"/>
      <w:szCs w:val="28"/>
    </w:rPr>
  </w:style>
  <w:style w:type="character" w:customStyle="1" w:styleId="39">
    <w:name w:val="批注框文本 Char"/>
    <w:link w:val="16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40">
    <w:name w:val="标题 2 Char"/>
    <w:link w:val="3"/>
    <w:qFormat/>
    <w:uiPriority w:val="0"/>
    <w:rPr>
      <w:rFonts w:ascii="Times New Roman" w:hAnsi="Times New Roman" w:eastAsia="宋体" w:cs="Times New Roman"/>
      <w:b/>
      <w:bCs/>
      <w:sz w:val="30"/>
      <w:szCs w:val="32"/>
    </w:rPr>
  </w:style>
  <w:style w:type="character" w:customStyle="1" w:styleId="41">
    <w:name w:val="文档结构图 Char"/>
    <w:link w:val="10"/>
    <w:semiHidden/>
    <w:qFormat/>
    <w:uiPriority w:val="99"/>
    <w:rPr>
      <w:rFonts w:ascii="宋体" w:hAnsi="Times New Roman" w:eastAsia="宋体" w:cs="Times New Roman"/>
      <w:sz w:val="18"/>
      <w:szCs w:val="18"/>
    </w:rPr>
  </w:style>
  <w:style w:type="character" w:customStyle="1" w:styleId="42">
    <w:name w:val="标题 3 Char"/>
    <w:link w:val="4"/>
    <w:qFormat/>
    <w:uiPriority w:val="0"/>
    <w:rPr>
      <w:rFonts w:ascii="Times New Roman" w:hAnsi="Times New Roman" w:eastAsia="宋体" w:cs="Times New Roman"/>
      <w:b/>
      <w:bCs/>
      <w:sz w:val="28"/>
      <w:szCs w:val="18"/>
    </w:rPr>
  </w:style>
  <w:style w:type="character" w:customStyle="1" w:styleId="43">
    <w:name w:val="批注文字 Char"/>
    <w:basedOn w:val="28"/>
    <w:link w:val="11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44">
    <w:name w:val="_Style 43"/>
    <w:qFormat/>
    <w:uiPriority w:val="21"/>
    <w:rPr>
      <w:b/>
      <w:bCs/>
      <w:i/>
      <w:iCs/>
      <w:color w:val="4F81BD"/>
    </w:rPr>
  </w:style>
  <w:style w:type="character" w:customStyle="1" w:styleId="45">
    <w:name w:val="标题 4 Char"/>
    <w:link w:val="5"/>
    <w:qFormat/>
    <w:uiPriority w:val="0"/>
    <w:rPr>
      <w:rFonts w:ascii="Times New Roman" w:hAnsi="Times New Roman" w:eastAsia="宋体" w:cs="Times New Roman"/>
      <w:b/>
      <w:bCs/>
      <w:sz w:val="24"/>
      <w:szCs w:val="28"/>
    </w:rPr>
  </w:style>
  <w:style w:type="character" w:customStyle="1" w:styleId="46">
    <w:name w:val="标题 7 Char"/>
    <w:link w:val="8"/>
    <w:qFormat/>
    <w:uiPriority w:val="9"/>
    <w:rPr>
      <w:rFonts w:ascii="Times New Roman" w:hAnsi="Times New Roman"/>
      <w:b/>
      <w:bCs/>
      <w:kern w:val="2"/>
      <w:sz w:val="24"/>
      <w:szCs w:val="24"/>
    </w:rPr>
  </w:style>
  <w:style w:type="character" w:customStyle="1" w:styleId="47">
    <w:name w:val="标题 5 Char"/>
    <w:link w:val="6"/>
    <w:qFormat/>
    <w:uiPriority w:val="0"/>
    <w:rPr>
      <w:rFonts w:ascii="Times New Roman" w:hAnsi="Times New Roman" w:eastAsia="宋体" w:cs="Times New Roman"/>
      <w:b/>
      <w:bCs/>
      <w:szCs w:val="28"/>
    </w:rPr>
  </w:style>
  <w:style w:type="character" w:customStyle="1" w:styleId="48">
    <w:name w:val="批注主题 Char"/>
    <w:basedOn w:val="43"/>
    <w:link w:val="26"/>
    <w:semiHidden/>
    <w:qFormat/>
    <w:uiPriority w:val="99"/>
    <w:rPr>
      <w:b/>
      <w:bCs/>
    </w:rPr>
  </w:style>
  <w:style w:type="character" w:customStyle="1" w:styleId="49">
    <w:name w:val="标题 6 Char"/>
    <w:link w:val="7"/>
    <w:qFormat/>
    <w:uiPriority w:val="0"/>
    <w:rPr>
      <w:rFonts w:ascii="Cambria" w:hAnsi="Cambria" w:eastAsia="宋体" w:cs="Times New Roman"/>
      <w:b/>
      <w:bCs/>
      <w:sz w:val="24"/>
      <w:szCs w:val="24"/>
    </w:rPr>
  </w:style>
  <w:style w:type="character" w:customStyle="1" w:styleId="50">
    <w:name w:val="正文文本缩进 Char"/>
    <w:link w:val="12"/>
    <w:uiPriority w:val="0"/>
    <w:rPr>
      <w:rFonts w:ascii="Times New Roman" w:hAnsi="Times New Roman" w:eastAsia="宋体" w:cs="Times New Roman"/>
      <w:szCs w:val="24"/>
    </w:rPr>
  </w:style>
  <w:style w:type="paragraph" w:customStyle="1" w:styleId="51">
    <w:name w:val="_Style 50"/>
    <w:basedOn w:val="2"/>
    <w:next w:val="1"/>
    <w:unhideWhenUsed/>
    <w:qFormat/>
    <w:uiPriority w:val="39"/>
    <w:pPr>
      <w:widowControl/>
      <w:numPr>
        <w:ilvl w:val="0"/>
        <w:numId w:val="0"/>
      </w:numPr>
      <w:spacing w:before="480" w:after="0" w:line="276" w:lineRule="auto"/>
      <w:jc w:val="left"/>
      <w:outlineLvl w:val="9"/>
    </w:pPr>
    <w:rPr>
      <w:rFonts w:ascii="Cambria" w:hAnsi="Cambria" w:eastAsia="宋体" w:cs="Times New Roman"/>
      <w:color w:val="365F91"/>
      <w:kern w:val="0"/>
      <w:sz w:val="28"/>
    </w:rPr>
  </w:style>
  <w:style w:type="paragraph" w:styleId="52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53">
    <w:name w:val="List Paragraph"/>
    <w:basedOn w:val="1"/>
    <w:qFormat/>
    <w:uiPriority w:val="34"/>
    <w:pPr>
      <w:ind w:firstLine="420" w:firstLineChars="200"/>
    </w:pPr>
  </w:style>
  <w:style w:type="paragraph" w:customStyle="1" w:styleId="54">
    <w:name w:val="Indent Normal"/>
    <w:basedOn w:val="1"/>
    <w:qFormat/>
    <w:uiPriority w:val="0"/>
    <w:pPr>
      <w:spacing w:line="360" w:lineRule="auto"/>
      <w:ind w:firstLine="150" w:firstLineChars="150"/>
    </w:pPr>
    <w:rPr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1" Type="http://schemas.openxmlformats.org/officeDocument/2006/relationships/fontTable" Target="fontTable.xml"/><Relationship Id="rId40" Type="http://schemas.openxmlformats.org/officeDocument/2006/relationships/numbering" Target="numbering.xml"/><Relationship Id="rId4" Type="http://schemas.openxmlformats.org/officeDocument/2006/relationships/footer" Target="footer1.xml"/><Relationship Id="rId39" Type="http://schemas.openxmlformats.org/officeDocument/2006/relationships/customXml" Target="../customXml/item1.xml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15</Pages>
  <Words>484</Words>
  <Characters>2763</Characters>
  <Lines>23</Lines>
  <Paragraphs>6</Paragraphs>
  <TotalTime>85</TotalTime>
  <ScaleCrop>false</ScaleCrop>
  <LinksUpToDate>false</LinksUpToDate>
  <CharactersWithSpaces>3241</CharactersWithSpaces>
  <Application>WPS Office_11.8.2.10393_F1E327BC-269C-435d-A152-05C5408002CA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2019-10-12T08:04:00Z</dcterms:created>
  <dc:creator>Windows 用户</dc:creator>
  <cp:lastModifiedBy>韩录双</cp:lastModifiedBy>
  <dcterms:modified xsi:type="dcterms:W3CDTF">2025-07-23T06:52:29Z</dcterms:modified>
  <cp:revision>50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2052-11.8.2.10393</vt:lpwstr>
  </property>
</Properties>
</file>